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0" w:type="auto"/>
        <w:tblInd w:w="108" w:type="dxa"/>
        <w:tblLayout w:type="fixed"/>
        <w:tblLook w:val="0000" w:firstRow="0" w:lastRow="0" w:firstColumn="0" w:lastColumn="0" w:noHBand="0" w:noVBand="0"/>
      </w:tblPr>
      <w:tblGrid>
        <w:gridCol w:w="7655"/>
        <w:gridCol w:w="2035"/>
      </w:tblGrid>
      <w:tr w:rsidR="008D434F" w14:paraId="29C8ED78" w14:textId="77777777">
        <w:trPr>
          <w:trHeight w:val="347"/>
        </w:trPr>
        <w:tc>
          <w:tcPr>
            <w:tcW w:w="7655" w:type="dxa"/>
            <w:vMerge w:val="restart"/>
            <w:tcBorders>
              <w:top w:val="single" w:sz="4" w:space="0" w:color="FFFFFF"/>
              <w:left w:val="single" w:sz="4" w:space="0" w:color="FFFFFF"/>
              <w:bottom w:val="single" w:sz="4" w:space="0" w:color="000000"/>
            </w:tcBorders>
            <w:shd w:val="clear" w:color="auto" w:fill="D9D9D9"/>
            <w:vAlign w:val="center"/>
          </w:tcPr>
          <w:p w14:paraId="4E8CBD4D" w14:textId="2F34A09B" w:rsidR="008D434F" w:rsidRPr="008C41AB" w:rsidRDefault="002F126B" w:rsidP="0057610E">
            <w:pPr>
              <w:jc w:val="both"/>
              <w:rPr>
                <w:rFonts w:ascii="Arial" w:hAnsi="Arial" w:cs="Arial"/>
                <w:caps/>
                <w:color w:val="6F6F6F"/>
                <w:sz w:val="20"/>
                <w:szCs w:val="20"/>
              </w:rPr>
            </w:pPr>
            <w:r>
              <w:rPr>
                <w:rFonts w:ascii="Arial" w:hAnsi="Arial"/>
                <w:b/>
                <w:caps/>
                <w:color w:val="6F6F6F"/>
                <w:sz w:val="36"/>
                <w:szCs w:val="22"/>
              </w:rPr>
              <w:t>Press Release</w:t>
            </w:r>
          </w:p>
        </w:tc>
        <w:tc>
          <w:tcPr>
            <w:tcW w:w="2035"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084713A2" w14:textId="302FE1D0" w:rsidR="008D434F" w:rsidRDefault="0015562A" w:rsidP="0057610E">
            <w:pPr>
              <w:jc w:val="both"/>
            </w:pPr>
            <w:r>
              <w:rPr>
                <w:rFonts w:ascii="Arial" w:hAnsi="Arial"/>
                <w:color w:val="6F6F6F"/>
                <w:sz w:val="20"/>
                <w:szCs w:val="20"/>
              </w:rPr>
              <w:t>XX.02.2022</w:t>
            </w:r>
          </w:p>
        </w:tc>
      </w:tr>
      <w:tr w:rsidR="008D434F" w14:paraId="55AA0317" w14:textId="77777777">
        <w:trPr>
          <w:trHeight w:val="347"/>
        </w:trPr>
        <w:tc>
          <w:tcPr>
            <w:tcW w:w="7655" w:type="dxa"/>
            <w:vMerge/>
            <w:tcBorders>
              <w:top w:val="single" w:sz="4" w:space="0" w:color="000000"/>
              <w:left w:val="single" w:sz="4" w:space="0" w:color="FFFFFF"/>
              <w:bottom w:val="single" w:sz="4" w:space="0" w:color="FFFFFF"/>
            </w:tcBorders>
            <w:shd w:val="clear" w:color="auto" w:fill="D9D9D9"/>
            <w:vAlign w:val="center"/>
          </w:tcPr>
          <w:p w14:paraId="1C4AD03D" w14:textId="77777777" w:rsidR="008D434F" w:rsidRDefault="008D434F" w:rsidP="0057610E">
            <w:pPr>
              <w:snapToGrid w:val="0"/>
              <w:jc w:val="both"/>
              <w:rPr>
                <w:rFonts w:ascii="Arial" w:hAnsi="Arial" w:cs="Arial"/>
                <w:color w:val="6F6F6F"/>
                <w:sz w:val="20"/>
                <w:szCs w:val="20"/>
              </w:rPr>
            </w:pPr>
          </w:p>
        </w:tc>
        <w:tc>
          <w:tcPr>
            <w:tcW w:w="2035"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7D237E1C" w14:textId="337362E1" w:rsidR="008D434F" w:rsidRPr="0015562A" w:rsidRDefault="0015562A" w:rsidP="0057610E">
            <w:pPr>
              <w:jc w:val="both"/>
              <w:rPr>
                <w:rFonts w:ascii="Arial" w:hAnsi="Arial" w:cs="Arial"/>
                <w:sz w:val="20"/>
                <w:szCs w:val="20"/>
                <w:highlight w:val="yellow"/>
              </w:rPr>
            </w:pPr>
            <w:r>
              <w:rPr>
                <w:rFonts w:ascii="Arial" w:hAnsi="Arial"/>
                <w:color w:val="808080" w:themeColor="background1" w:themeShade="80"/>
                <w:sz w:val="20"/>
                <w:szCs w:val="20"/>
              </w:rPr>
              <w:t>Cairo, Ulm</w:t>
            </w:r>
          </w:p>
        </w:tc>
      </w:tr>
    </w:tbl>
    <w:p w14:paraId="76455A33" w14:textId="77777777" w:rsidR="008D434F" w:rsidRPr="000A7528" w:rsidRDefault="008D434F" w:rsidP="0057610E">
      <w:pPr>
        <w:jc w:val="both"/>
        <w:rPr>
          <w:rFonts w:ascii="Arial" w:hAnsi="Arial" w:cs="Arial"/>
        </w:rPr>
      </w:pPr>
    </w:p>
    <w:tbl>
      <w:tblPr>
        <w:tblW w:w="9639" w:type="dxa"/>
        <w:tblInd w:w="108" w:type="dxa"/>
        <w:tblLayout w:type="fixed"/>
        <w:tblLook w:val="0000" w:firstRow="0" w:lastRow="0" w:firstColumn="0" w:lastColumn="0" w:noHBand="0" w:noVBand="0"/>
      </w:tblPr>
      <w:tblGrid>
        <w:gridCol w:w="9639"/>
      </w:tblGrid>
      <w:tr w:rsidR="008D434F" w14:paraId="697D62FC" w14:textId="77777777" w:rsidTr="002F126B">
        <w:trPr>
          <w:trHeight w:val="523"/>
        </w:trPr>
        <w:tc>
          <w:tcPr>
            <w:tcW w:w="9639" w:type="dxa"/>
            <w:tcBorders>
              <w:top w:val="single" w:sz="4" w:space="0" w:color="000000"/>
              <w:bottom w:val="single" w:sz="4" w:space="0" w:color="000000"/>
            </w:tcBorders>
            <w:shd w:val="clear" w:color="auto" w:fill="auto"/>
            <w:vAlign w:val="center"/>
          </w:tcPr>
          <w:p w14:paraId="37D7B667" w14:textId="2FC1DB7B" w:rsidR="008D434F" w:rsidRDefault="00166796" w:rsidP="0057610E">
            <w:pPr>
              <w:jc w:val="both"/>
            </w:pPr>
            <w:r>
              <w:rPr>
                <w:rStyle w:val="s9"/>
                <w:rFonts w:ascii="Arial" w:hAnsi="Arial"/>
                <w:b/>
                <w:bCs/>
                <w:color w:val="000000"/>
                <w:sz w:val="28"/>
                <w:szCs w:val="28"/>
              </w:rPr>
              <w:t xml:space="preserve">Ship from Pharaoh Cheops era travels on KAMAG modular transporters: Sarens transports unique 4,500-year-old cultural asset </w:t>
            </w:r>
          </w:p>
        </w:tc>
      </w:tr>
    </w:tbl>
    <w:p w14:paraId="50E1819C" w14:textId="77777777" w:rsidR="00713846" w:rsidRDefault="00713846" w:rsidP="0057610E">
      <w:pPr>
        <w:spacing w:line="360" w:lineRule="auto"/>
        <w:ind w:right="-397"/>
        <w:jc w:val="both"/>
        <w:rPr>
          <w:rFonts w:ascii="Arial" w:hAnsi="Arial" w:cs="Arial"/>
          <w:b/>
        </w:rPr>
      </w:pPr>
    </w:p>
    <w:p w14:paraId="7F91E693" w14:textId="0B73F1D4" w:rsidR="00B92D48" w:rsidRDefault="00DC0F6D" w:rsidP="0057610E">
      <w:pPr>
        <w:spacing w:line="360" w:lineRule="auto"/>
        <w:ind w:left="284" w:right="-284"/>
        <w:jc w:val="both"/>
        <w:rPr>
          <w:rStyle w:val="bumpedfont15"/>
          <w:rFonts w:ascii="Arial" w:eastAsiaTheme="minorHAnsi" w:hAnsi="Arial" w:cs="Arial"/>
          <w:b/>
          <w:bCs/>
        </w:rPr>
      </w:pPr>
      <w:bookmarkStart w:id="0" w:name="_Hlk96327774"/>
      <w:r>
        <w:rPr>
          <w:rStyle w:val="bumpedfont15"/>
          <w:rFonts w:ascii="Arial" w:hAnsi="Arial"/>
          <w:b/>
          <w:bCs/>
        </w:rPr>
        <w:t>The know-how of the heavy goods experts from Sarens, an 80-tonne steel cage, powerful K24 and K25 modular transporters from KAMAG as well as their special arrangement made the 100-tonne transport possible in the first place. The extraordinary combination ensured that the sun barque arrived safely at its destination despite the difficult route.</w:t>
      </w:r>
    </w:p>
    <w:bookmarkEnd w:id="0"/>
    <w:p w14:paraId="22F89BDB" w14:textId="77777777" w:rsidR="00B92D48" w:rsidRDefault="00B92D48" w:rsidP="0057610E">
      <w:pPr>
        <w:spacing w:line="360" w:lineRule="auto"/>
        <w:ind w:left="284" w:right="-284"/>
        <w:jc w:val="both"/>
        <w:rPr>
          <w:rStyle w:val="bumpedfont15"/>
          <w:rFonts w:ascii="Arial" w:eastAsiaTheme="minorHAnsi" w:hAnsi="Arial" w:cs="Arial"/>
          <w:b/>
          <w:bCs/>
          <w:lang w:eastAsia="de-DE" w:bidi="hi-IN"/>
        </w:rPr>
      </w:pPr>
    </w:p>
    <w:p w14:paraId="000A4A04" w14:textId="2DDA12AC" w:rsidR="00180AB8" w:rsidRDefault="00134360" w:rsidP="0057610E">
      <w:pPr>
        <w:pStyle w:val="s12"/>
        <w:spacing w:line="360" w:lineRule="auto"/>
        <w:ind w:left="284"/>
        <w:jc w:val="both"/>
        <w:rPr>
          <w:rStyle w:val="bumpedfont15"/>
          <w:rFonts w:ascii="Arial" w:hAnsi="Arial" w:cs="Arial"/>
          <w:sz w:val="24"/>
          <w:szCs w:val="24"/>
        </w:rPr>
      </w:pPr>
      <w:r>
        <w:rPr>
          <w:rStyle w:val="bumpedfont15"/>
          <w:rFonts w:ascii="Arial" w:hAnsi="Arial"/>
          <w:sz w:val="24"/>
          <w:szCs w:val="24"/>
        </w:rPr>
        <w:t>Pharaoh Cheops' ship had to travel ten kilometres from the Khufu Boat Museum to its new location at the Grand Egyptian Museum in Cairo. The dimensions of the burial object dimensions taken from the Cheops pyramid caused virtually no problems during transport. Relocating a length of 43.6 metres, a width of six metres and a weight of 20 tonnes does not normally pose any difficulties for heavy goods hauliers. However, it was the fragility of the 4,500-year-old sun barque that posed a major challenge here. On top of this, the route had gradients of up to three per cent. In order to avoid damaging the excellently preserved ship which according to legend was supposed to take the soul of the deceased pharaoh to the afterlife via the primordial ocean, it was not allowed to tilt under any circumstances.</w:t>
      </w:r>
    </w:p>
    <w:p w14:paraId="6E1895F0" w14:textId="52A75A85" w:rsidR="00B34A68" w:rsidRPr="00B34A68" w:rsidRDefault="00B34A68" w:rsidP="00180AB8">
      <w:pPr>
        <w:pStyle w:val="s12"/>
        <w:spacing w:line="360" w:lineRule="auto"/>
        <w:ind w:left="284"/>
        <w:jc w:val="both"/>
        <w:rPr>
          <w:rStyle w:val="bumpedfont15"/>
          <w:rFonts w:ascii="Arial" w:hAnsi="Arial" w:cs="Arial"/>
          <w:b/>
          <w:sz w:val="24"/>
          <w:szCs w:val="24"/>
        </w:rPr>
      </w:pPr>
      <w:r>
        <w:rPr>
          <w:rStyle w:val="bumpedfont15"/>
          <w:rFonts w:ascii="Arial" w:hAnsi="Arial"/>
          <w:b/>
          <w:sz w:val="24"/>
          <w:szCs w:val="24"/>
        </w:rPr>
        <w:br/>
        <w:t>80-tonne steel cage protects unique ship from damage</w:t>
      </w:r>
    </w:p>
    <w:p w14:paraId="4E077DA4" w14:textId="3F1F7CBC" w:rsidR="009051EE" w:rsidRDefault="00180AB8" w:rsidP="00D74D72">
      <w:pPr>
        <w:pStyle w:val="s12"/>
        <w:spacing w:line="360" w:lineRule="auto"/>
        <w:ind w:left="284"/>
        <w:jc w:val="both"/>
        <w:rPr>
          <w:rStyle w:val="bumpedfont15"/>
          <w:rFonts w:ascii="Arial" w:hAnsi="Arial" w:cs="Arial"/>
          <w:sz w:val="24"/>
          <w:szCs w:val="24"/>
        </w:rPr>
      </w:pPr>
      <w:r>
        <w:rPr>
          <w:rStyle w:val="bumpedfont15"/>
          <w:rFonts w:ascii="Arial" w:hAnsi="Arial"/>
          <w:sz w:val="24"/>
          <w:szCs w:val="24"/>
        </w:rPr>
        <w:t xml:space="preserve">In view of the uniqueness of the barge, only experienced experts were employed to master the task. Sarens, a long-standing customer of KAMAG Transporttechnik, a subsidiary of the Heilbronn-based Transporter Industry International Group (TII Group), is a company that really understands such undertakings. The experts from </w:t>
      </w:r>
      <w:r>
        <w:rPr>
          <w:rStyle w:val="bumpedfont15"/>
          <w:rFonts w:ascii="Arial" w:hAnsi="Arial"/>
          <w:sz w:val="24"/>
          <w:szCs w:val="24"/>
        </w:rPr>
        <w:lastRenderedPageBreak/>
        <w:t>the Belgian heavy-load logistics provider positioned the ship in a specially-designed steel cage weighing 80 tonnes. It was then to be placed on self-propelled modular transporters from KAMAG, so-called SPMTs (Self Propelled Modular Transporters), ready for transport. In addition, Sarens constructed a 52 metre long steel bridge. Twelve K24 axle lines were initially able to precisely manoeuvre under the boat in order for it to be subsequently lifted out. The Sarens professionals then manoeuvred the boat out of the museum on the K24 module transporters through the narrow opening in the museum wall, which provided only a few centimetres of tolerance, and positioned the twelve K24 axle lines on twelve K25 SPE axle lines.</w:t>
      </w:r>
    </w:p>
    <w:p w14:paraId="69532341" w14:textId="74BEC332" w:rsidR="00DC0F6D" w:rsidRPr="00DC0F6D" w:rsidRDefault="00DC0F6D" w:rsidP="00180AB8">
      <w:pPr>
        <w:pStyle w:val="s12"/>
        <w:spacing w:line="360" w:lineRule="auto"/>
        <w:ind w:left="284"/>
        <w:jc w:val="both"/>
        <w:rPr>
          <w:rStyle w:val="bumpedfont15"/>
          <w:rFonts w:ascii="Arial" w:hAnsi="Arial" w:cs="Arial"/>
          <w:b/>
          <w:sz w:val="24"/>
          <w:szCs w:val="24"/>
        </w:rPr>
      </w:pPr>
      <w:r>
        <w:rPr>
          <w:rStyle w:val="bumpedfont15"/>
          <w:rFonts w:ascii="Arial" w:hAnsi="Arial"/>
          <w:b/>
          <w:sz w:val="24"/>
          <w:szCs w:val="24"/>
        </w:rPr>
        <w:br/>
        <w:t>Twelve KAMAG axle lines stacked in two rows for creating the perfect balance</w:t>
      </w:r>
    </w:p>
    <w:p w14:paraId="4CDE6848" w14:textId="6292FA6D" w:rsidR="00180AB8" w:rsidRDefault="00B34A68" w:rsidP="00180AB8">
      <w:pPr>
        <w:pStyle w:val="s12"/>
        <w:spacing w:line="360" w:lineRule="auto"/>
        <w:ind w:left="284"/>
        <w:jc w:val="both"/>
        <w:rPr>
          <w:rStyle w:val="bumpedfont15"/>
          <w:rFonts w:ascii="Arial" w:hAnsi="Arial" w:cs="Arial"/>
          <w:sz w:val="24"/>
          <w:szCs w:val="24"/>
        </w:rPr>
      </w:pPr>
      <w:r>
        <w:rPr>
          <w:rStyle w:val="bumpedfont15"/>
          <w:rFonts w:ascii="Arial" w:hAnsi="Arial"/>
          <w:sz w:val="24"/>
          <w:szCs w:val="24"/>
        </w:rPr>
        <w:t>The arrangement of the K24 and K25 axis lines respectively on top of each other made it possible to keep the ship in the steel cage exactly horizontal at all times. In effect, Sarens used the already high axle compensation of the hydraulically supported pendulum axles of the modular transporter twice. Whilst being protected in this way, the “solar boat” finally arrived safely at the Grand Egyptian Museum.</w:t>
      </w:r>
    </w:p>
    <w:p w14:paraId="7A37DD32" w14:textId="7262A909" w:rsidR="007821A8" w:rsidRPr="007821A8" w:rsidRDefault="007821A8" w:rsidP="0057610E">
      <w:pPr>
        <w:pStyle w:val="s12"/>
        <w:spacing w:line="360" w:lineRule="auto"/>
        <w:ind w:left="284"/>
        <w:jc w:val="both"/>
        <w:rPr>
          <w:rStyle w:val="bumpedfont15"/>
          <w:rFonts w:ascii="Arial" w:hAnsi="Arial" w:cs="Arial"/>
          <w:b/>
          <w:sz w:val="24"/>
          <w:szCs w:val="24"/>
        </w:rPr>
      </w:pPr>
      <w:r>
        <w:rPr>
          <w:rStyle w:val="bumpedfont15"/>
          <w:rFonts w:ascii="Arial" w:hAnsi="Arial"/>
          <w:b/>
          <w:sz w:val="24"/>
          <w:szCs w:val="24"/>
        </w:rPr>
        <w:br/>
        <w:t>Transporting ancient cultural assets has a long tradition at the TII Group</w:t>
      </w:r>
    </w:p>
    <w:p w14:paraId="73D9C25C" w14:textId="3B9E167E" w:rsidR="00427F07" w:rsidRDefault="00C14A66" w:rsidP="0057610E">
      <w:pPr>
        <w:pStyle w:val="s12"/>
        <w:spacing w:line="360" w:lineRule="auto"/>
        <w:ind w:left="284"/>
        <w:jc w:val="both"/>
        <w:rPr>
          <w:rStyle w:val="bumpedfont15"/>
          <w:rFonts w:ascii="Arial" w:hAnsi="Arial" w:cs="Arial"/>
          <w:sz w:val="24"/>
          <w:szCs w:val="24"/>
        </w:rPr>
      </w:pPr>
      <w:r>
        <w:rPr>
          <w:rStyle w:val="bumpedfont15"/>
          <w:rFonts w:ascii="Arial" w:hAnsi="Arial"/>
          <w:sz w:val="24"/>
          <w:szCs w:val="24"/>
        </w:rPr>
        <w:t xml:space="preserve">Historically valuable transports using vehicles from the TII Group, which includes the </w:t>
      </w:r>
      <w:r>
        <w:rPr>
          <w:rStyle w:val="bumpedfont15"/>
          <w:rFonts w:ascii="Arial" w:hAnsi="Arial"/>
          <w:caps/>
          <w:sz w:val="24"/>
          <w:szCs w:val="24"/>
        </w:rPr>
        <w:t>Scheuerle</w:t>
      </w:r>
      <w:r>
        <w:rPr>
          <w:rStyle w:val="bumpedfont15"/>
          <w:rFonts w:ascii="Arial" w:hAnsi="Arial"/>
          <w:sz w:val="24"/>
          <w:szCs w:val="24"/>
        </w:rPr>
        <w:t xml:space="preserve"> and KAMAG brands, have a long tradition. SCHEUERLE transporters were already being used in Egypt in the 1960s. Back then in a spectacular move, the over 3,200-year-old Abu Simbel rock-cut temple was saved from the continually rising water level during the construction of the Aswan Dam on SCHEUERLE transport vehicles. </w:t>
      </w:r>
    </w:p>
    <w:p w14:paraId="66537E03" w14:textId="77777777" w:rsidR="00427F07" w:rsidRDefault="00427F07" w:rsidP="0057610E">
      <w:pPr>
        <w:pStyle w:val="s12"/>
        <w:spacing w:line="360" w:lineRule="auto"/>
        <w:ind w:left="284"/>
        <w:jc w:val="both"/>
        <w:rPr>
          <w:rStyle w:val="bumpedfont15"/>
          <w:rFonts w:ascii="Arial" w:hAnsi="Arial" w:cs="Arial"/>
          <w:sz w:val="24"/>
          <w:szCs w:val="24"/>
        </w:rPr>
      </w:pPr>
    </w:p>
    <w:p w14:paraId="65F5253A" w14:textId="0E7EBDE9" w:rsidR="00427F07" w:rsidRPr="00427F07" w:rsidRDefault="00427F07" w:rsidP="0057610E">
      <w:pPr>
        <w:pStyle w:val="s12"/>
        <w:spacing w:line="360" w:lineRule="auto"/>
        <w:ind w:left="284"/>
        <w:jc w:val="both"/>
        <w:rPr>
          <w:rStyle w:val="bumpedfont15"/>
          <w:rFonts w:ascii="Arial" w:hAnsi="Arial" w:cs="Arial"/>
          <w:b/>
          <w:sz w:val="24"/>
          <w:szCs w:val="24"/>
        </w:rPr>
      </w:pPr>
      <w:r>
        <w:rPr>
          <w:rStyle w:val="bumpedfont15"/>
          <w:rFonts w:ascii="Arial" w:hAnsi="Arial"/>
          <w:b/>
          <w:sz w:val="24"/>
          <w:szCs w:val="24"/>
        </w:rPr>
        <w:lastRenderedPageBreak/>
        <w:t>Sarens moves a 2,600-tonne monastery in one piece</w:t>
      </w:r>
    </w:p>
    <w:p w14:paraId="4E16A344" w14:textId="18A1B3EB" w:rsidR="00C14A66" w:rsidRPr="00C14A66" w:rsidRDefault="00ED1035" w:rsidP="0057610E">
      <w:pPr>
        <w:pStyle w:val="s12"/>
        <w:spacing w:line="360" w:lineRule="auto"/>
        <w:ind w:left="284"/>
        <w:jc w:val="both"/>
        <w:rPr>
          <w:rStyle w:val="bumpedfont15"/>
          <w:rFonts w:ascii="Arial" w:hAnsi="Arial" w:cs="Arial"/>
          <w:sz w:val="24"/>
          <w:szCs w:val="24"/>
        </w:rPr>
      </w:pPr>
      <w:r>
        <w:rPr>
          <w:rStyle w:val="bumpedfont15"/>
          <w:rFonts w:ascii="Arial" w:hAnsi="Arial"/>
          <w:sz w:val="24"/>
          <w:szCs w:val="24"/>
        </w:rPr>
        <w:t>Sarens has just transported a historic monastery building in China in one piece on 120 axle lines from the TII Group. The building, which had been noticeably affected by weather conditions, could have been damaged by the slightest fluctuation during transport. Here, too, the 2,600 tonne transport had to safely climb steep inclines.</w:t>
      </w:r>
    </w:p>
    <w:p w14:paraId="1AFEDA3D" w14:textId="571AFF3F" w:rsidR="00BB5298" w:rsidRDefault="00407B44" w:rsidP="0057610E">
      <w:pPr>
        <w:pStyle w:val="s12"/>
        <w:spacing w:before="0" w:beforeAutospacing="0" w:after="0" w:afterAutospacing="0" w:line="360" w:lineRule="auto"/>
        <w:ind w:left="284"/>
        <w:jc w:val="both"/>
        <w:rPr>
          <w:sz w:val="24"/>
          <w:szCs w:val="24"/>
        </w:rPr>
      </w:pPr>
      <w:r>
        <w:rPr>
          <w:rStyle w:val="bumpedfont15"/>
          <w:rFonts w:ascii="Arial" w:hAnsi="Arial"/>
          <w:sz w:val="24"/>
          <w:szCs w:val="24"/>
        </w:rPr>
        <w:t>The TII Group subsidiaries</w:t>
      </w:r>
      <w:r>
        <w:rPr>
          <w:rStyle w:val="bumpedfont15"/>
          <w:rFonts w:ascii="Arial" w:hAnsi="Arial"/>
          <w:caps/>
          <w:sz w:val="24"/>
          <w:szCs w:val="24"/>
        </w:rPr>
        <w:t xml:space="preserve"> </w:t>
      </w:r>
      <w:r>
        <w:rPr>
          <w:rStyle w:val="bumpedfont15"/>
          <w:rFonts w:ascii="Arial" w:hAnsi="Arial"/>
          <w:sz w:val="24"/>
          <w:szCs w:val="24"/>
        </w:rPr>
        <w:t xml:space="preserve">have written history in two ways. All over the world, they have been transporting cultural assets with their heavy-duty transporters for more than six decades now, moving cultural buildings and works of art of worldwide historical importance. </w:t>
      </w:r>
    </w:p>
    <w:p w14:paraId="2A3BC721" w14:textId="77777777" w:rsidR="0040481F" w:rsidRDefault="0040481F" w:rsidP="0057610E">
      <w:pPr>
        <w:pStyle w:val="s12"/>
        <w:spacing w:before="0" w:beforeAutospacing="0" w:after="0" w:afterAutospacing="0" w:line="360" w:lineRule="auto"/>
        <w:ind w:left="284"/>
        <w:jc w:val="both"/>
        <w:rPr>
          <w:rStyle w:val="bumpedfont15"/>
          <w:rFonts w:ascii="Arial" w:hAnsi="Arial" w:cs="Arial"/>
          <w:b/>
          <w:bCs/>
          <w:sz w:val="24"/>
          <w:szCs w:val="24"/>
        </w:rPr>
      </w:pPr>
    </w:p>
    <w:p w14:paraId="3E072702" w14:textId="525311CE" w:rsidR="00BB5298" w:rsidRPr="002068FF" w:rsidRDefault="00BB5298" w:rsidP="0057610E">
      <w:pPr>
        <w:pStyle w:val="s12"/>
        <w:spacing w:before="0" w:beforeAutospacing="0" w:after="0" w:afterAutospacing="0" w:line="360" w:lineRule="auto"/>
        <w:ind w:left="284"/>
        <w:jc w:val="both"/>
        <w:rPr>
          <w:sz w:val="24"/>
          <w:szCs w:val="24"/>
        </w:rPr>
      </w:pPr>
      <w:r>
        <w:rPr>
          <w:rStyle w:val="bumpedfont15"/>
          <w:rFonts w:ascii="Arial" w:hAnsi="Arial"/>
          <w:b/>
          <w:bCs/>
          <w:sz w:val="24"/>
          <w:szCs w:val="24"/>
        </w:rPr>
        <w:t>Photos:</w:t>
      </w:r>
    </w:p>
    <w:p w14:paraId="597C30F7" w14:textId="57DEFD5A" w:rsidR="00BB5298" w:rsidRDefault="0040481F" w:rsidP="0057610E">
      <w:pPr>
        <w:spacing w:line="360" w:lineRule="auto"/>
        <w:ind w:left="284"/>
        <w:jc w:val="both"/>
        <w:rPr>
          <w:rFonts w:ascii="Arial" w:hAnsi="Arial" w:cs="Arial"/>
          <w:b/>
          <w:sz w:val="22"/>
          <w:szCs w:val="22"/>
        </w:rPr>
      </w:pPr>
      <w:r>
        <w:rPr>
          <w:noProof/>
          <w:lang w:val="de-DE" w:eastAsia="de-DE"/>
        </w:rPr>
        <w:drawing>
          <wp:inline distT="0" distB="0" distL="0" distR="0" wp14:anchorId="3B3D6466" wp14:editId="3FD49148">
            <wp:extent cx="2466340" cy="107632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25948"/>
                    <a:stretch/>
                  </pic:blipFill>
                  <pic:spPr bwMode="auto">
                    <a:xfrm>
                      <a:off x="0" y="0"/>
                      <a:ext cx="2533612" cy="1105683"/>
                    </a:xfrm>
                    <a:prstGeom prst="rect">
                      <a:avLst/>
                    </a:prstGeom>
                    <a:ln>
                      <a:noFill/>
                    </a:ln>
                    <a:extLst>
                      <a:ext uri="{53640926-AAD7-44D8-BBD7-CCE9431645EC}">
                        <a14:shadowObscured xmlns:a14="http://schemas.microsoft.com/office/drawing/2010/main"/>
                      </a:ext>
                    </a:extLst>
                  </pic:spPr>
                </pic:pic>
              </a:graphicData>
            </a:graphic>
          </wp:inline>
        </w:drawing>
      </w:r>
    </w:p>
    <w:p w14:paraId="20AA46A8" w14:textId="05BB60F3" w:rsidR="0040481F" w:rsidRPr="009F6EE9" w:rsidRDefault="009F6EE9" w:rsidP="0057610E">
      <w:pPr>
        <w:spacing w:line="360" w:lineRule="auto"/>
        <w:ind w:left="284"/>
        <w:jc w:val="both"/>
        <w:rPr>
          <w:rFonts w:ascii="Arial" w:hAnsi="Arial" w:cs="Arial"/>
          <w:b/>
          <w:sz w:val="18"/>
          <w:szCs w:val="18"/>
        </w:rPr>
      </w:pPr>
      <w:r>
        <w:rPr>
          <w:rStyle w:val="bumpedfont15"/>
          <w:rFonts w:ascii="Arial" w:hAnsi="Arial"/>
          <w:sz w:val="20"/>
          <w:szCs w:val="20"/>
        </w:rPr>
        <w:t xml:space="preserve">The 4,500-year-old “solar boat” arrived at the Grand Egyptian Museum on KAMAG modular vehicles. </w:t>
      </w:r>
    </w:p>
    <w:p w14:paraId="60CFD0D0" w14:textId="7EFB5343" w:rsidR="0040481F" w:rsidRDefault="0040481F" w:rsidP="0040481F">
      <w:pPr>
        <w:spacing w:line="360" w:lineRule="auto"/>
        <w:jc w:val="both"/>
        <w:rPr>
          <w:rFonts w:ascii="Arial" w:hAnsi="Arial" w:cs="Arial"/>
          <w:b/>
          <w:sz w:val="22"/>
          <w:szCs w:val="22"/>
        </w:rPr>
      </w:pPr>
    </w:p>
    <w:p w14:paraId="33B42B4E" w14:textId="2A99B587" w:rsidR="0040481F" w:rsidRDefault="0040481F" w:rsidP="0057610E">
      <w:pPr>
        <w:spacing w:line="360" w:lineRule="auto"/>
        <w:ind w:left="284"/>
        <w:jc w:val="both"/>
        <w:rPr>
          <w:rFonts w:ascii="Arial" w:hAnsi="Arial" w:cs="Arial"/>
          <w:b/>
          <w:sz w:val="22"/>
          <w:szCs w:val="22"/>
        </w:rPr>
      </w:pPr>
      <w:r>
        <w:rPr>
          <w:noProof/>
          <w:lang w:val="de-DE" w:eastAsia="de-DE"/>
        </w:rPr>
        <w:drawing>
          <wp:inline distT="0" distB="0" distL="0" distR="0" wp14:anchorId="21C5BD0C" wp14:editId="09663E77">
            <wp:extent cx="1551217" cy="194437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0910"/>
                    <a:stretch/>
                  </pic:blipFill>
                  <pic:spPr bwMode="auto">
                    <a:xfrm>
                      <a:off x="0" y="0"/>
                      <a:ext cx="1577424" cy="1977219"/>
                    </a:xfrm>
                    <a:prstGeom prst="rect">
                      <a:avLst/>
                    </a:prstGeom>
                    <a:ln>
                      <a:noFill/>
                    </a:ln>
                    <a:extLst>
                      <a:ext uri="{53640926-AAD7-44D8-BBD7-CCE9431645EC}">
                        <a14:shadowObscured xmlns:a14="http://schemas.microsoft.com/office/drawing/2010/main"/>
                      </a:ext>
                    </a:extLst>
                  </pic:spPr>
                </pic:pic>
              </a:graphicData>
            </a:graphic>
          </wp:inline>
        </w:drawing>
      </w:r>
    </w:p>
    <w:p w14:paraId="65D5B822" w14:textId="75263E7E" w:rsidR="0040481F" w:rsidRPr="009F6EE9" w:rsidRDefault="00106ACD" w:rsidP="0057610E">
      <w:pPr>
        <w:spacing w:line="360" w:lineRule="auto"/>
        <w:ind w:left="284"/>
        <w:jc w:val="both"/>
        <w:rPr>
          <w:rFonts w:ascii="Arial" w:hAnsi="Arial" w:cs="Arial"/>
          <w:b/>
          <w:sz w:val="18"/>
          <w:szCs w:val="18"/>
        </w:rPr>
      </w:pPr>
      <w:r>
        <w:rPr>
          <w:rStyle w:val="bumpedfont15"/>
          <w:rFonts w:ascii="Arial" w:hAnsi="Arial"/>
          <w:sz w:val="20"/>
          <w:szCs w:val="20"/>
        </w:rPr>
        <w:t xml:space="preserve">In the 1960s, SCHEUERLE transporters relocated the Abu Simbel rock-cut temple which is more than 3,200 years old. </w:t>
      </w:r>
    </w:p>
    <w:p w14:paraId="16287595" w14:textId="77777777" w:rsidR="0040481F" w:rsidRDefault="0040481F" w:rsidP="0057610E">
      <w:pPr>
        <w:spacing w:line="360" w:lineRule="auto"/>
        <w:ind w:left="284"/>
        <w:jc w:val="both"/>
        <w:rPr>
          <w:rFonts w:ascii="Arial" w:hAnsi="Arial" w:cs="Arial"/>
          <w:b/>
          <w:sz w:val="22"/>
          <w:szCs w:val="22"/>
        </w:rPr>
      </w:pPr>
    </w:p>
    <w:p w14:paraId="3201833D" w14:textId="581BFA0B" w:rsidR="0040481F" w:rsidRDefault="0040481F" w:rsidP="0057610E">
      <w:pPr>
        <w:spacing w:line="360" w:lineRule="auto"/>
        <w:ind w:left="284"/>
        <w:jc w:val="both"/>
        <w:rPr>
          <w:rFonts w:ascii="Arial" w:hAnsi="Arial" w:cs="Arial"/>
          <w:b/>
          <w:sz w:val="22"/>
          <w:szCs w:val="22"/>
        </w:rPr>
      </w:pPr>
      <w:r>
        <w:rPr>
          <w:noProof/>
          <w:lang w:val="de-DE" w:eastAsia="de-DE"/>
        </w:rPr>
        <w:lastRenderedPageBreak/>
        <w:drawing>
          <wp:inline distT="0" distB="0" distL="0" distR="0" wp14:anchorId="4F88E201" wp14:editId="515325E4">
            <wp:extent cx="2876550" cy="2156632"/>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80049" cy="2159255"/>
                    </a:xfrm>
                    <a:prstGeom prst="rect">
                      <a:avLst/>
                    </a:prstGeom>
                  </pic:spPr>
                </pic:pic>
              </a:graphicData>
            </a:graphic>
          </wp:inline>
        </w:drawing>
      </w:r>
    </w:p>
    <w:p w14:paraId="44545BBA" w14:textId="0A00B165" w:rsidR="009F6EE9" w:rsidRPr="009F6EE9" w:rsidRDefault="00106ACD" w:rsidP="009F6EE9">
      <w:pPr>
        <w:spacing w:line="360" w:lineRule="auto"/>
        <w:ind w:left="284"/>
        <w:rPr>
          <w:rFonts w:ascii="Arial" w:hAnsi="Arial" w:cs="Arial"/>
          <w:bCs/>
          <w:sz w:val="18"/>
          <w:szCs w:val="18"/>
        </w:rPr>
      </w:pPr>
      <w:r>
        <w:rPr>
          <w:rFonts w:ascii="Arial" w:hAnsi="Arial"/>
          <w:bCs/>
          <w:sz w:val="18"/>
          <w:szCs w:val="18"/>
        </w:rPr>
        <w:t xml:space="preserve">In 2020, Sarens used axle lines from the TII Group to transport a historic Chinese monastery. </w:t>
      </w:r>
    </w:p>
    <w:p w14:paraId="57842B17" w14:textId="77777777" w:rsidR="0040481F" w:rsidRPr="002068FF" w:rsidRDefault="0040481F" w:rsidP="0057610E">
      <w:pPr>
        <w:spacing w:line="360" w:lineRule="auto"/>
        <w:ind w:left="284"/>
        <w:jc w:val="both"/>
        <w:rPr>
          <w:rFonts w:ascii="Arial" w:hAnsi="Arial" w:cs="Arial"/>
          <w:b/>
          <w:sz w:val="22"/>
          <w:szCs w:val="22"/>
        </w:rPr>
      </w:pPr>
    </w:p>
    <w:p w14:paraId="2458F337" w14:textId="037740DA" w:rsidR="00BB5298" w:rsidRDefault="00BB5298" w:rsidP="0057610E">
      <w:pPr>
        <w:spacing w:line="360" w:lineRule="auto"/>
        <w:ind w:left="284"/>
        <w:jc w:val="both"/>
        <w:rPr>
          <w:rFonts w:ascii="Arial" w:hAnsi="Arial" w:cs="Arial"/>
          <w:b/>
        </w:rPr>
      </w:pPr>
    </w:p>
    <w:p w14:paraId="1016746D" w14:textId="2883CAE2" w:rsidR="008D434F" w:rsidRDefault="00B57A1B" w:rsidP="0057610E">
      <w:pPr>
        <w:spacing w:line="360" w:lineRule="auto"/>
        <w:ind w:left="284"/>
        <w:jc w:val="both"/>
        <w:rPr>
          <w:rFonts w:ascii="Arial" w:hAnsi="Arial" w:cs="Arial"/>
          <w:b/>
          <w:sz w:val="18"/>
          <w:szCs w:val="18"/>
        </w:rPr>
      </w:pPr>
      <w:r>
        <w:rPr>
          <w:rFonts w:ascii="Arial" w:hAnsi="Arial"/>
          <w:b/>
          <w:sz w:val="18"/>
          <w:szCs w:val="18"/>
        </w:rPr>
        <w:t>Company profile</w:t>
      </w:r>
    </w:p>
    <w:p w14:paraId="487D35B1" w14:textId="30056122" w:rsidR="008D434F" w:rsidRPr="00B648C8" w:rsidRDefault="00B57A1B" w:rsidP="0057610E">
      <w:pPr>
        <w:spacing w:line="360" w:lineRule="auto"/>
        <w:ind w:left="284"/>
        <w:jc w:val="both"/>
        <w:rPr>
          <w:sz w:val="18"/>
          <w:szCs w:val="18"/>
        </w:rPr>
      </w:pPr>
      <w:r w:rsidRPr="00B648C8">
        <w:rPr>
          <w:rFonts w:ascii="Arial" w:hAnsi="Arial"/>
          <w:sz w:val="18"/>
          <w:szCs w:val="18"/>
        </w:rPr>
        <w:t>The Transporter Industry International Group (TII Group) is owned the Rettenmaier entrepreneurial family and is a globally active manufacturer of heavy-duty and special vehicles. It is comprised of the Scheuerle, Nicolas, Kamag and TIIGER brands, and has a workforce of around 900 employees. With innovative vehicles for logistics yards, public roads and industrial areas, the world market leader for heavy-duty vehicles with hydraulic pendulum axles supports its customers – from transport and logistics, building industry, plant engineering, air and space travel, shipbuilding through to energy, steel and mining – for realising a wide range of complex transport tasks. Transport assignments include construction machi</w:t>
      </w:r>
      <w:bookmarkStart w:id="1" w:name="_GoBack"/>
      <w:bookmarkEnd w:id="1"/>
      <w:r w:rsidRPr="00B648C8">
        <w:rPr>
          <w:rFonts w:ascii="Arial" w:hAnsi="Arial"/>
          <w:sz w:val="18"/>
          <w:szCs w:val="18"/>
        </w:rPr>
        <w:t>nery, wind turbine facilities, ships</w:t>
      </w:r>
      <w:proofErr w:type="gramStart"/>
      <w:r w:rsidRPr="00B648C8">
        <w:rPr>
          <w:rFonts w:ascii="Arial" w:hAnsi="Arial"/>
          <w:sz w:val="18"/>
          <w:szCs w:val="18"/>
        </w:rPr>
        <w:t>,  antennas</w:t>
      </w:r>
      <w:proofErr w:type="gramEnd"/>
      <w:r w:rsidRPr="00B648C8">
        <w:rPr>
          <w:rFonts w:ascii="Arial" w:hAnsi="Arial"/>
          <w:sz w:val="18"/>
          <w:szCs w:val="18"/>
        </w:rPr>
        <w:t xml:space="preserve"> as well as entire factory plant. The TII Group holds the current world record of over 17,000 tonnes for transporting extremely heavy loads on vehicles. The TII Group focuses on product quality and innovations for the future of heavy-duty transportation mobility. In addition to locations in Germany, France and India, the group has a global sales and service organisation. </w:t>
      </w:r>
    </w:p>
    <w:p w14:paraId="068194B5" w14:textId="77777777" w:rsidR="008D434F" w:rsidRPr="00636839" w:rsidRDefault="00840A6E" w:rsidP="0057610E">
      <w:pPr>
        <w:spacing w:line="360" w:lineRule="auto"/>
        <w:ind w:left="284"/>
        <w:jc w:val="both"/>
        <w:rPr>
          <w:rFonts w:ascii="Arial" w:hAnsi="Arial" w:cs="Arial"/>
          <w:sz w:val="18"/>
          <w:szCs w:val="18"/>
        </w:rPr>
      </w:pPr>
      <w:hyperlink r:id="rId12" w:history="1">
        <w:r w:rsidR="00463DB5">
          <w:rPr>
            <w:rStyle w:val="Hyperlink"/>
            <w:rFonts w:ascii="Arial" w:hAnsi="Arial"/>
            <w:sz w:val="18"/>
            <w:szCs w:val="18"/>
          </w:rPr>
          <w:t>www.tii-group.com</w:t>
        </w:r>
      </w:hyperlink>
    </w:p>
    <w:p w14:paraId="34328938" w14:textId="40BB5779" w:rsidR="008D434F" w:rsidRPr="00636839" w:rsidRDefault="008D434F" w:rsidP="0057610E">
      <w:pPr>
        <w:spacing w:line="360" w:lineRule="auto"/>
        <w:ind w:left="284"/>
        <w:jc w:val="both"/>
        <w:rPr>
          <w:rFonts w:ascii="Arial" w:hAnsi="Arial" w:cs="Arial"/>
          <w:sz w:val="18"/>
          <w:szCs w:val="18"/>
        </w:rPr>
      </w:pPr>
    </w:p>
    <w:sectPr w:rsidR="008D434F" w:rsidRPr="00636839" w:rsidSect="002F4B6C">
      <w:headerReference w:type="even" r:id="rId13"/>
      <w:headerReference w:type="default" r:id="rId14"/>
      <w:footerReference w:type="even" r:id="rId15"/>
      <w:footerReference w:type="default" r:id="rId16"/>
      <w:headerReference w:type="first" r:id="rId17"/>
      <w:footerReference w:type="first" r:id="rId18"/>
      <w:pgSz w:w="11906" w:h="16838"/>
      <w:pgMar w:top="2269" w:right="1558" w:bottom="2268" w:left="1134" w:header="709" w:footer="970" w:gutter="0"/>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8C582E" w14:textId="77777777" w:rsidR="00840A6E" w:rsidRDefault="00840A6E">
      <w:r>
        <w:separator/>
      </w:r>
    </w:p>
  </w:endnote>
  <w:endnote w:type="continuationSeparator" w:id="0">
    <w:p w14:paraId="507FC753" w14:textId="77777777" w:rsidR="00840A6E" w:rsidRDefault="00840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Times New Roman"/>
    <w:charset w:val="00"/>
    <w:family w:val="auto"/>
    <w:pitch w:val="variable"/>
  </w:font>
  <w:font w:name="Calibri">
    <w:panose1 w:val="020F05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7D832" w14:textId="77777777" w:rsidR="008D434F" w:rsidRDefault="008D434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9EEEA2" w14:textId="77777777" w:rsidR="008D434F" w:rsidRDefault="00B57A1B">
    <w:pPr>
      <w:pStyle w:val="Footer"/>
      <w:tabs>
        <w:tab w:val="right" w:pos="8931"/>
      </w:tabs>
      <w:jc w:val="right"/>
      <w:rPr>
        <w:rFonts w:ascii="Arial" w:hAnsi="Arial" w:cs="Arial"/>
      </w:rPr>
    </w:pPr>
    <w:r>
      <w:rPr>
        <w:rFonts w:cs="Arial"/>
        <w:bCs/>
        <w:i/>
        <w:sz w:val="12"/>
        <w:szCs w:val="12"/>
      </w:rPr>
      <w:fldChar w:fldCharType="begin"/>
    </w:r>
    <w:r>
      <w:rPr>
        <w:rFonts w:cs="Arial"/>
        <w:bCs/>
        <w:i/>
        <w:sz w:val="12"/>
        <w:szCs w:val="12"/>
      </w:rPr>
      <w:instrText xml:space="preserve"> PAGE </w:instrText>
    </w:r>
    <w:r>
      <w:rPr>
        <w:rFonts w:cs="Arial"/>
        <w:bCs/>
        <w:i/>
        <w:sz w:val="12"/>
        <w:szCs w:val="12"/>
      </w:rPr>
      <w:fldChar w:fldCharType="separate"/>
    </w:r>
    <w:r w:rsidR="00E822A0">
      <w:rPr>
        <w:rFonts w:cs="Arial"/>
        <w:bCs/>
        <w:i/>
        <w:noProof/>
        <w:sz w:val="12"/>
        <w:szCs w:val="12"/>
      </w:rPr>
      <w:t>2</w:t>
    </w:r>
    <w:r>
      <w:rPr>
        <w:rFonts w:cs="Arial"/>
        <w:bCs/>
        <w:i/>
        <w:sz w:val="12"/>
        <w:szCs w:val="12"/>
      </w:rPr>
      <w:fldChar w:fldCharType="end"/>
    </w:r>
    <w:r>
      <w:rPr>
        <w:rFonts w:ascii="Arial" w:hAnsi="Arial"/>
        <w:bCs/>
        <w:i/>
        <w:sz w:val="12"/>
        <w:szCs w:val="12"/>
      </w:rPr>
      <w:t>/</w:t>
    </w:r>
    <w:r>
      <w:rPr>
        <w:rFonts w:cs="Arial"/>
        <w:bCs/>
        <w:i/>
        <w:sz w:val="12"/>
        <w:szCs w:val="12"/>
      </w:rPr>
      <w:fldChar w:fldCharType="begin"/>
    </w:r>
    <w:r>
      <w:rPr>
        <w:rFonts w:cs="Arial"/>
        <w:bCs/>
        <w:i/>
        <w:sz w:val="12"/>
        <w:szCs w:val="12"/>
      </w:rPr>
      <w:instrText xml:space="preserve"> NUMPAGES \*Arabic </w:instrText>
    </w:r>
    <w:r>
      <w:rPr>
        <w:rFonts w:cs="Arial"/>
        <w:bCs/>
        <w:i/>
        <w:sz w:val="12"/>
        <w:szCs w:val="12"/>
      </w:rPr>
      <w:fldChar w:fldCharType="separate"/>
    </w:r>
    <w:r w:rsidR="00E822A0">
      <w:rPr>
        <w:rFonts w:cs="Arial"/>
        <w:bCs/>
        <w:i/>
        <w:noProof/>
        <w:sz w:val="12"/>
        <w:szCs w:val="12"/>
      </w:rPr>
      <w:t>4</w:t>
    </w:r>
    <w:r>
      <w:rPr>
        <w:rFonts w:cs="Arial"/>
        <w:bCs/>
        <w:i/>
        <w:sz w:val="12"/>
        <w:szCs w:val="12"/>
      </w:rPr>
      <w:fldChar w:fldCharType="end"/>
    </w:r>
  </w:p>
  <w:p w14:paraId="2E35823D" w14:textId="77777777" w:rsidR="008D434F" w:rsidRDefault="008D434F">
    <w:pPr>
      <w:pStyle w:val="Footer"/>
      <w:rPr>
        <w:rFonts w:ascii="Arial" w:hAnsi="Arial" w:cs="Aria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CFE08B" w14:textId="77777777" w:rsidR="008D434F" w:rsidRDefault="008D434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2DE91D" w14:textId="77777777" w:rsidR="00840A6E" w:rsidRDefault="00840A6E">
      <w:r>
        <w:separator/>
      </w:r>
    </w:p>
  </w:footnote>
  <w:footnote w:type="continuationSeparator" w:id="0">
    <w:p w14:paraId="66448AA1" w14:textId="77777777" w:rsidR="00840A6E" w:rsidRDefault="00840A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4AAA2E" w14:textId="77777777" w:rsidR="00C37472" w:rsidRDefault="00C3747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83A9CB" w14:textId="2F83F650" w:rsidR="008D434F" w:rsidRDefault="006E563B">
    <w:pPr>
      <w:pStyle w:val="Header"/>
    </w:pPr>
    <w:r>
      <w:rPr>
        <w:noProof/>
        <w:lang w:val="de-DE" w:eastAsia="de-DE"/>
      </w:rPr>
      <w:drawing>
        <wp:anchor distT="0" distB="0" distL="114935" distR="114935" simplePos="0" relativeHeight="251657728" behindDoc="1" locked="0" layoutInCell="1" allowOverlap="1" wp14:anchorId="56EB111F" wp14:editId="781DEFC3">
          <wp:simplePos x="0" y="0"/>
          <wp:positionH relativeFrom="page">
            <wp:posOffset>2540</wp:posOffset>
          </wp:positionH>
          <wp:positionV relativeFrom="page">
            <wp:posOffset>3175</wp:posOffset>
          </wp:positionV>
          <wp:extent cx="7557135" cy="10688955"/>
          <wp:effectExtent l="0" t="0" r="0" b="0"/>
          <wp:wrapNone/>
          <wp:docPr id="2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7135" cy="106889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209EB1" w14:textId="77777777" w:rsidR="008D434F" w:rsidRDefault="008D434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0"/>
        </w:tabs>
        <w:ind w:left="432" w:hanging="432"/>
      </w:pPr>
      <w:rPr>
        <w:rFonts w:ascii="Arial" w:eastAsia="Times New Roman" w:hAnsi="Arial" w:cs="Arial"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563B"/>
    <w:rsid w:val="00003377"/>
    <w:rsid w:val="00013EA6"/>
    <w:rsid w:val="0004687E"/>
    <w:rsid w:val="00060D20"/>
    <w:rsid w:val="00092341"/>
    <w:rsid w:val="000A3EE8"/>
    <w:rsid w:val="000A7528"/>
    <w:rsid w:val="000B1BF8"/>
    <w:rsid w:val="000C312B"/>
    <w:rsid w:val="000D0614"/>
    <w:rsid w:val="000D7D43"/>
    <w:rsid w:val="000F27B7"/>
    <w:rsid w:val="000F27E3"/>
    <w:rsid w:val="00106ACD"/>
    <w:rsid w:val="00114AB5"/>
    <w:rsid w:val="00130D21"/>
    <w:rsid w:val="00134360"/>
    <w:rsid w:val="0015562A"/>
    <w:rsid w:val="00163278"/>
    <w:rsid w:val="001648F7"/>
    <w:rsid w:val="00164956"/>
    <w:rsid w:val="00166796"/>
    <w:rsid w:val="00180AB8"/>
    <w:rsid w:val="0019167A"/>
    <w:rsid w:val="001A38BB"/>
    <w:rsid w:val="001B4B0A"/>
    <w:rsid w:val="001C0728"/>
    <w:rsid w:val="001E2510"/>
    <w:rsid w:val="001E2FCF"/>
    <w:rsid w:val="001E44A7"/>
    <w:rsid w:val="001E4DC0"/>
    <w:rsid w:val="0020081A"/>
    <w:rsid w:val="002068FF"/>
    <w:rsid w:val="00225C48"/>
    <w:rsid w:val="00234461"/>
    <w:rsid w:val="00272E2D"/>
    <w:rsid w:val="002B003C"/>
    <w:rsid w:val="002B3481"/>
    <w:rsid w:val="002C70D2"/>
    <w:rsid w:val="002D5BEA"/>
    <w:rsid w:val="002F126B"/>
    <w:rsid w:val="002F4B6C"/>
    <w:rsid w:val="002F7C6F"/>
    <w:rsid w:val="00313EF8"/>
    <w:rsid w:val="00320828"/>
    <w:rsid w:val="00352EED"/>
    <w:rsid w:val="0036211F"/>
    <w:rsid w:val="0037253D"/>
    <w:rsid w:val="00377313"/>
    <w:rsid w:val="003831A1"/>
    <w:rsid w:val="00392D33"/>
    <w:rsid w:val="003B39F6"/>
    <w:rsid w:val="003B694C"/>
    <w:rsid w:val="003D4B7A"/>
    <w:rsid w:val="0040481F"/>
    <w:rsid w:val="00407B44"/>
    <w:rsid w:val="004105E2"/>
    <w:rsid w:val="00414DCC"/>
    <w:rsid w:val="00427F07"/>
    <w:rsid w:val="00431E0F"/>
    <w:rsid w:val="0044279D"/>
    <w:rsid w:val="00450D48"/>
    <w:rsid w:val="004568A9"/>
    <w:rsid w:val="00460C8B"/>
    <w:rsid w:val="00463DB5"/>
    <w:rsid w:val="00471616"/>
    <w:rsid w:val="004A58C6"/>
    <w:rsid w:val="004B4A23"/>
    <w:rsid w:val="004C3415"/>
    <w:rsid w:val="004C3A3E"/>
    <w:rsid w:val="004D5E19"/>
    <w:rsid w:val="005061DA"/>
    <w:rsid w:val="00507923"/>
    <w:rsid w:val="00512EC6"/>
    <w:rsid w:val="005304CB"/>
    <w:rsid w:val="00566E05"/>
    <w:rsid w:val="0057496F"/>
    <w:rsid w:val="0057610E"/>
    <w:rsid w:val="005A516D"/>
    <w:rsid w:val="005C2EB0"/>
    <w:rsid w:val="005C3E0F"/>
    <w:rsid w:val="005D45DF"/>
    <w:rsid w:val="005E2E13"/>
    <w:rsid w:val="00600627"/>
    <w:rsid w:val="00604734"/>
    <w:rsid w:val="00612EDD"/>
    <w:rsid w:val="006240C0"/>
    <w:rsid w:val="00625E91"/>
    <w:rsid w:val="00636839"/>
    <w:rsid w:val="006608CB"/>
    <w:rsid w:val="00660B40"/>
    <w:rsid w:val="00667E19"/>
    <w:rsid w:val="00667F4C"/>
    <w:rsid w:val="00683FBC"/>
    <w:rsid w:val="006B0ABA"/>
    <w:rsid w:val="006C238E"/>
    <w:rsid w:val="006E3143"/>
    <w:rsid w:val="006E563B"/>
    <w:rsid w:val="006F33DA"/>
    <w:rsid w:val="007122EC"/>
    <w:rsid w:val="00713846"/>
    <w:rsid w:val="00740127"/>
    <w:rsid w:val="007821A8"/>
    <w:rsid w:val="007A054D"/>
    <w:rsid w:val="007B0B7D"/>
    <w:rsid w:val="007E14DD"/>
    <w:rsid w:val="007E2DBB"/>
    <w:rsid w:val="007E6EAD"/>
    <w:rsid w:val="007F0256"/>
    <w:rsid w:val="007F660B"/>
    <w:rsid w:val="0080569B"/>
    <w:rsid w:val="008106D4"/>
    <w:rsid w:val="00840A6E"/>
    <w:rsid w:val="00867404"/>
    <w:rsid w:val="008A4BE0"/>
    <w:rsid w:val="008A5E52"/>
    <w:rsid w:val="008A6E3F"/>
    <w:rsid w:val="008B3264"/>
    <w:rsid w:val="008B6D3A"/>
    <w:rsid w:val="008C0544"/>
    <w:rsid w:val="008C41AB"/>
    <w:rsid w:val="008C5E21"/>
    <w:rsid w:val="008D434F"/>
    <w:rsid w:val="008E42E7"/>
    <w:rsid w:val="009051EE"/>
    <w:rsid w:val="00907177"/>
    <w:rsid w:val="00907F11"/>
    <w:rsid w:val="00925571"/>
    <w:rsid w:val="00933912"/>
    <w:rsid w:val="00967C8E"/>
    <w:rsid w:val="00980CC1"/>
    <w:rsid w:val="0099526B"/>
    <w:rsid w:val="009C325B"/>
    <w:rsid w:val="009D5F48"/>
    <w:rsid w:val="009D6300"/>
    <w:rsid w:val="009E3F5E"/>
    <w:rsid w:val="009F6EE9"/>
    <w:rsid w:val="00A47EA3"/>
    <w:rsid w:val="00A512D2"/>
    <w:rsid w:val="00A5134D"/>
    <w:rsid w:val="00A562D0"/>
    <w:rsid w:val="00A64D60"/>
    <w:rsid w:val="00A72F4B"/>
    <w:rsid w:val="00A91E69"/>
    <w:rsid w:val="00AA2DFC"/>
    <w:rsid w:val="00AA4D3F"/>
    <w:rsid w:val="00AB4894"/>
    <w:rsid w:val="00AC117A"/>
    <w:rsid w:val="00AE7AC4"/>
    <w:rsid w:val="00AF72A5"/>
    <w:rsid w:val="00B17628"/>
    <w:rsid w:val="00B2248D"/>
    <w:rsid w:val="00B25BDA"/>
    <w:rsid w:val="00B31228"/>
    <w:rsid w:val="00B34A68"/>
    <w:rsid w:val="00B370C7"/>
    <w:rsid w:val="00B50858"/>
    <w:rsid w:val="00B57A1B"/>
    <w:rsid w:val="00B63DC1"/>
    <w:rsid w:val="00B648C8"/>
    <w:rsid w:val="00B77551"/>
    <w:rsid w:val="00B8364B"/>
    <w:rsid w:val="00B929AD"/>
    <w:rsid w:val="00B92D48"/>
    <w:rsid w:val="00BA7B7C"/>
    <w:rsid w:val="00BB2CF0"/>
    <w:rsid w:val="00BB5298"/>
    <w:rsid w:val="00C1487A"/>
    <w:rsid w:val="00C14A66"/>
    <w:rsid w:val="00C33F03"/>
    <w:rsid w:val="00C34E3D"/>
    <w:rsid w:val="00C37472"/>
    <w:rsid w:val="00C51947"/>
    <w:rsid w:val="00C65EFB"/>
    <w:rsid w:val="00C706D3"/>
    <w:rsid w:val="00C93F4A"/>
    <w:rsid w:val="00CA4C84"/>
    <w:rsid w:val="00CC3F17"/>
    <w:rsid w:val="00CE67AC"/>
    <w:rsid w:val="00CF1FEA"/>
    <w:rsid w:val="00D05B57"/>
    <w:rsid w:val="00D13832"/>
    <w:rsid w:val="00D14D01"/>
    <w:rsid w:val="00D20B79"/>
    <w:rsid w:val="00D30FAB"/>
    <w:rsid w:val="00D41316"/>
    <w:rsid w:val="00D554D2"/>
    <w:rsid w:val="00D66235"/>
    <w:rsid w:val="00D67C07"/>
    <w:rsid w:val="00D74D72"/>
    <w:rsid w:val="00D84583"/>
    <w:rsid w:val="00DB32C5"/>
    <w:rsid w:val="00DC0F6D"/>
    <w:rsid w:val="00DE1C9E"/>
    <w:rsid w:val="00DE5CDD"/>
    <w:rsid w:val="00DF33E3"/>
    <w:rsid w:val="00DF5F79"/>
    <w:rsid w:val="00E13D71"/>
    <w:rsid w:val="00E200CB"/>
    <w:rsid w:val="00E25FB3"/>
    <w:rsid w:val="00E459C3"/>
    <w:rsid w:val="00E53480"/>
    <w:rsid w:val="00E767B4"/>
    <w:rsid w:val="00E776A3"/>
    <w:rsid w:val="00E822A0"/>
    <w:rsid w:val="00EA6122"/>
    <w:rsid w:val="00ED1035"/>
    <w:rsid w:val="00ED5D6D"/>
    <w:rsid w:val="00EE4B8B"/>
    <w:rsid w:val="00EF14BF"/>
    <w:rsid w:val="00EF7906"/>
    <w:rsid w:val="00F333C7"/>
    <w:rsid w:val="00F55C41"/>
    <w:rsid w:val="00F60178"/>
    <w:rsid w:val="00F81072"/>
    <w:rsid w:val="00F81D01"/>
    <w:rsid w:val="00FB1455"/>
    <w:rsid w:val="00FD34FC"/>
    <w:rsid w:val="00FE1DF0"/>
  </w:rsids>
  <m:mathPr>
    <m:mathFont m:val="Cambria Math"/>
    <m:brkBin m:val="before"/>
    <m:brkBinSub m:val="--"/>
    <m:smallFrac m:val="0"/>
    <m:dispDef/>
    <m:lMargin m:val="0"/>
    <m:rMargin m:val="0"/>
    <m:defJc m:val="centerGroup"/>
    <m:wrapIndent m:val="1440"/>
    <m:intLim m:val="subSup"/>
    <m:naryLim m:val="undOvr"/>
  </m:mathPr>
  <w:themeFontLang w:val="de-DE"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021E3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ascii="Cambria" w:eastAsia="MS Mincho" w:hAnsi="Cambria" w:cs="Cambria"/>
      <w:sz w:val="24"/>
      <w:szCs w:val="24"/>
      <w:lang w:eastAsia="ar-SA"/>
    </w:rPr>
  </w:style>
  <w:style w:type="paragraph" w:styleId="Heading1">
    <w:name w:val="heading 1"/>
    <w:basedOn w:val="Normal"/>
    <w:next w:val="BodyText"/>
    <w:qFormat/>
    <w:pPr>
      <w:numPr>
        <w:numId w:val="1"/>
      </w:numPr>
      <w:spacing w:before="280" w:after="280"/>
      <w:outlineLvl w:val="0"/>
    </w:pPr>
    <w:rPr>
      <w:rFonts w:ascii="Times New Roman" w:eastAsia="Times New Roman" w:hAnsi="Times New Roman" w:cs="Times New Roman"/>
      <w:b/>
      <w:bCs/>
      <w:kern w:val="1"/>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Arial" w:eastAsia="Times New Roman" w:hAnsi="Arial" w:cs="Arial" w:hint="default"/>
    </w:rPr>
  </w:style>
  <w:style w:type="character" w:customStyle="1" w:styleId="WW8Num1z1">
    <w:name w:val="WW8Num1z1"/>
    <w:rPr>
      <w:rFonts w:ascii="Courier New" w:hAnsi="Courier New" w:cs="Courier New" w:hint="default"/>
    </w:rPr>
  </w:style>
  <w:style w:type="character" w:customStyle="1" w:styleId="WW8Num1z2">
    <w:name w:val="WW8Num1z2"/>
    <w:rPr>
      <w:rFonts w:ascii="Wingdings" w:hAnsi="Wingdings" w:cs="Wingdings" w:hint="default"/>
    </w:rPr>
  </w:style>
  <w:style w:type="character" w:customStyle="1" w:styleId="WW8Num1z3">
    <w:name w:val="WW8Num1z3"/>
    <w:rPr>
      <w:rFonts w:ascii="Symbol" w:hAnsi="Symbol" w:cs="Symbol" w:hint="default"/>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WW8Num2z0">
    <w:name w:val="WW8Num2z0"/>
    <w:rPr>
      <w:rFonts w:ascii="Symbol" w:hAnsi="Symbol" w:cs="Symbol"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Absatz-Standardschriftart1">
    <w:name w:val="Absatz-Standardschriftart1"/>
  </w:style>
  <w:style w:type="character" w:customStyle="1" w:styleId="KopfzeileZchn">
    <w:name w:val="Kopfzeile Zchn"/>
    <w:basedOn w:val="Absatz-Standardschriftart1"/>
  </w:style>
  <w:style w:type="character" w:customStyle="1" w:styleId="FuzeileZchn">
    <w:name w:val="Fußzeile Zchn"/>
    <w:basedOn w:val="Absatz-Standardschriftart1"/>
  </w:style>
  <w:style w:type="character" w:customStyle="1" w:styleId="SprechblasentextZchn">
    <w:name w:val="Sprechblasentext Zchn"/>
    <w:rPr>
      <w:rFonts w:ascii="Lucida Grande" w:hAnsi="Lucida Grande" w:cs="Lucida Grande"/>
      <w:sz w:val="18"/>
      <w:szCs w:val="18"/>
    </w:rPr>
  </w:style>
  <w:style w:type="character" w:styleId="PlaceholderText">
    <w:name w:val="Placeholder Text"/>
    <w:rPr>
      <w:color w:val="808080"/>
    </w:rPr>
  </w:style>
  <w:style w:type="character" w:styleId="Strong">
    <w:name w:val="Strong"/>
    <w:qFormat/>
    <w:rPr>
      <w:b/>
      <w:bCs/>
    </w:rPr>
  </w:style>
  <w:style w:type="character" w:customStyle="1" w:styleId="NurTextZchn">
    <w:name w:val="Nur Text Zchn"/>
    <w:rPr>
      <w:rFonts w:ascii="Calibri" w:eastAsia="Cambria" w:hAnsi="Calibri" w:cs="Calibri"/>
      <w:sz w:val="22"/>
      <w:szCs w:val="21"/>
    </w:rPr>
  </w:style>
  <w:style w:type="character" w:customStyle="1" w:styleId="Kommentarzeichen1">
    <w:name w:val="Kommentarzeichen1"/>
    <w:rPr>
      <w:sz w:val="16"/>
      <w:szCs w:val="16"/>
    </w:rPr>
  </w:style>
  <w:style w:type="character" w:customStyle="1" w:styleId="KommentartextZchn">
    <w:name w:val="Kommentartext Zchn"/>
    <w:basedOn w:val="Absatz-Standardschriftart1"/>
  </w:style>
  <w:style w:type="character" w:customStyle="1" w:styleId="KommentarthemaZchn">
    <w:name w:val="Kommentarthema Zchn"/>
    <w:rPr>
      <w:b/>
      <w:bCs/>
    </w:rPr>
  </w:style>
  <w:style w:type="character" w:styleId="Hyperlink">
    <w:name w:val="Hyperlink"/>
    <w:rPr>
      <w:color w:val="0000FF"/>
      <w:u w:val="single"/>
    </w:rPr>
  </w:style>
  <w:style w:type="character" w:customStyle="1" w:styleId="berschrift1Zchn">
    <w:name w:val="Überschrift 1 Zchn"/>
    <w:rPr>
      <w:rFonts w:ascii="Times New Roman" w:eastAsia="Times New Roman" w:hAnsi="Times New Roman" w:cs="Times New Roman"/>
      <w:b/>
      <w:bCs/>
      <w:kern w:val="1"/>
      <w:sz w:val="48"/>
      <w:szCs w:val="48"/>
    </w:rPr>
  </w:style>
  <w:style w:type="character" w:customStyle="1" w:styleId="Nummerierungszeichen">
    <w:name w:val="Nummerierungszeichen"/>
  </w:style>
  <w:style w:type="paragraph" w:customStyle="1" w:styleId="berschrift">
    <w:name w:val="Überschrift"/>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customStyle="1" w:styleId="Beschriftung2">
    <w:name w:val="Beschriftung2"/>
    <w:basedOn w:val="Normal"/>
    <w:pPr>
      <w:suppressLineNumbers/>
      <w:spacing w:before="120" w:after="120"/>
    </w:pPr>
    <w:rPr>
      <w:rFonts w:cs="Mangal"/>
      <w:i/>
      <w:iCs/>
    </w:rPr>
  </w:style>
  <w:style w:type="paragraph" w:customStyle="1" w:styleId="Verzeichnis">
    <w:name w:val="Verzeichnis"/>
    <w:basedOn w:val="Normal"/>
    <w:pPr>
      <w:suppressLineNumbers/>
    </w:pPr>
    <w:rPr>
      <w:rFonts w:cs="Mangal"/>
    </w:rPr>
  </w:style>
  <w:style w:type="paragraph" w:customStyle="1" w:styleId="Beschriftung1">
    <w:name w:val="Beschriftung1"/>
    <w:basedOn w:val="Normal"/>
    <w:pPr>
      <w:suppressLineNumbers/>
      <w:spacing w:before="120" w:after="120"/>
    </w:pPr>
    <w:rPr>
      <w:rFonts w:cs="Mangal"/>
      <w:i/>
      <w:iCs/>
    </w:rPr>
  </w:style>
  <w:style w:type="paragraph" w:styleId="Header">
    <w:name w:val="header"/>
    <w:basedOn w:val="Normal"/>
  </w:style>
  <w:style w:type="paragraph" w:styleId="Footer">
    <w:name w:val="footer"/>
    <w:basedOn w:val="Normal"/>
  </w:style>
  <w:style w:type="paragraph" w:styleId="BalloonText">
    <w:name w:val="Balloon Text"/>
    <w:basedOn w:val="Normal"/>
    <w:rPr>
      <w:rFonts w:ascii="Lucida Grande" w:hAnsi="Lucida Grande" w:cs="Lucida Grande"/>
      <w:sz w:val="18"/>
      <w:szCs w:val="18"/>
    </w:rPr>
  </w:style>
  <w:style w:type="paragraph" w:styleId="ListParagraph">
    <w:name w:val="List Paragraph"/>
    <w:basedOn w:val="Normal"/>
    <w:qFormat/>
    <w:pPr>
      <w:ind w:left="720"/>
    </w:pPr>
    <w:rPr>
      <w:rFonts w:ascii="Arial" w:eastAsia="Times New Roman" w:hAnsi="Arial" w:cs="Arial"/>
    </w:rPr>
  </w:style>
  <w:style w:type="paragraph" w:customStyle="1" w:styleId="NurText1">
    <w:name w:val="Nur Text1"/>
    <w:basedOn w:val="Normal"/>
    <w:rPr>
      <w:rFonts w:ascii="Calibri" w:eastAsia="Cambria" w:hAnsi="Calibri" w:cs="Calibri"/>
      <w:sz w:val="22"/>
      <w:szCs w:val="21"/>
    </w:rPr>
  </w:style>
  <w:style w:type="paragraph" w:customStyle="1" w:styleId="Kommentartext1">
    <w:name w:val="Kommentartext1"/>
    <w:basedOn w:val="Normal"/>
    <w:rPr>
      <w:sz w:val="20"/>
      <w:szCs w:val="20"/>
    </w:rPr>
  </w:style>
  <w:style w:type="paragraph" w:styleId="CommentSubject">
    <w:name w:val="annotation subject"/>
    <w:basedOn w:val="Kommentartext1"/>
    <w:next w:val="Kommentartext1"/>
    <w:rPr>
      <w:b/>
      <w:bCs/>
    </w:rPr>
  </w:style>
  <w:style w:type="paragraph" w:styleId="NormalWeb">
    <w:name w:val="Normal (Web)"/>
    <w:basedOn w:val="Normal"/>
    <w:uiPriority w:val="99"/>
    <w:pPr>
      <w:spacing w:before="280" w:after="280"/>
    </w:pPr>
    <w:rPr>
      <w:rFonts w:ascii="Times New Roman" w:eastAsia="Times New Roman" w:hAnsi="Times New Roman" w:cs="Times New Roman"/>
    </w:rPr>
  </w:style>
  <w:style w:type="paragraph" w:customStyle="1" w:styleId="TabellenInhalt">
    <w:name w:val="Tabellen Inhalt"/>
    <w:basedOn w:val="Normal"/>
    <w:pPr>
      <w:suppressLineNumbers/>
    </w:pPr>
  </w:style>
  <w:style w:type="paragraph" w:customStyle="1" w:styleId="Tabellenberschrift">
    <w:name w:val="Tabellen Überschrift"/>
    <w:basedOn w:val="TabellenInhalt"/>
    <w:pPr>
      <w:jc w:val="center"/>
    </w:pPr>
    <w:rPr>
      <w:b/>
      <w:bCs/>
    </w:rPr>
  </w:style>
  <w:style w:type="character" w:customStyle="1" w:styleId="UnresolvedMention">
    <w:name w:val="Unresolved Mention"/>
    <w:basedOn w:val="DefaultParagraphFont"/>
    <w:uiPriority w:val="99"/>
    <w:semiHidden/>
    <w:unhideWhenUsed/>
    <w:rsid w:val="00E776A3"/>
    <w:rPr>
      <w:color w:val="605E5C"/>
      <w:shd w:val="clear" w:color="auto" w:fill="E1DFDD"/>
    </w:rPr>
  </w:style>
  <w:style w:type="paragraph" w:customStyle="1" w:styleId="s10">
    <w:name w:val="s10"/>
    <w:basedOn w:val="Normal"/>
    <w:uiPriority w:val="99"/>
    <w:semiHidden/>
    <w:rsid w:val="00BB5298"/>
    <w:pPr>
      <w:suppressAutoHyphens w:val="0"/>
      <w:spacing w:before="100" w:beforeAutospacing="1" w:after="100" w:afterAutospacing="1"/>
    </w:pPr>
    <w:rPr>
      <w:rFonts w:ascii="Calibri" w:eastAsiaTheme="minorHAnsi" w:hAnsi="Calibri" w:cs="Calibri"/>
      <w:sz w:val="22"/>
      <w:szCs w:val="22"/>
      <w:lang w:eastAsia="de-DE" w:bidi="hi-IN"/>
    </w:rPr>
  </w:style>
  <w:style w:type="paragraph" w:customStyle="1" w:styleId="s12">
    <w:name w:val="s12"/>
    <w:basedOn w:val="Normal"/>
    <w:uiPriority w:val="99"/>
    <w:semiHidden/>
    <w:rsid w:val="00BB5298"/>
    <w:pPr>
      <w:suppressAutoHyphens w:val="0"/>
      <w:spacing w:before="100" w:beforeAutospacing="1" w:after="100" w:afterAutospacing="1"/>
    </w:pPr>
    <w:rPr>
      <w:rFonts w:ascii="Calibri" w:eastAsiaTheme="minorHAnsi" w:hAnsi="Calibri" w:cs="Calibri"/>
      <w:sz w:val="22"/>
      <w:szCs w:val="22"/>
      <w:lang w:eastAsia="de-DE" w:bidi="hi-IN"/>
    </w:rPr>
  </w:style>
  <w:style w:type="character" w:customStyle="1" w:styleId="s9">
    <w:name w:val="s9"/>
    <w:basedOn w:val="DefaultParagraphFont"/>
    <w:rsid w:val="00BB5298"/>
  </w:style>
  <w:style w:type="character" w:customStyle="1" w:styleId="bumpedfont15">
    <w:name w:val="bumpedfont15"/>
    <w:basedOn w:val="DefaultParagraphFont"/>
    <w:rsid w:val="00BB52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ascii="Cambria" w:eastAsia="MS Mincho" w:hAnsi="Cambria" w:cs="Cambria"/>
      <w:sz w:val="24"/>
      <w:szCs w:val="24"/>
      <w:lang w:eastAsia="ar-SA"/>
    </w:rPr>
  </w:style>
  <w:style w:type="paragraph" w:styleId="Heading1">
    <w:name w:val="heading 1"/>
    <w:basedOn w:val="Normal"/>
    <w:next w:val="BodyText"/>
    <w:qFormat/>
    <w:pPr>
      <w:numPr>
        <w:numId w:val="1"/>
      </w:numPr>
      <w:spacing w:before="280" w:after="280"/>
      <w:outlineLvl w:val="0"/>
    </w:pPr>
    <w:rPr>
      <w:rFonts w:ascii="Times New Roman" w:eastAsia="Times New Roman" w:hAnsi="Times New Roman" w:cs="Times New Roman"/>
      <w:b/>
      <w:bCs/>
      <w:kern w:val="1"/>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Arial" w:eastAsia="Times New Roman" w:hAnsi="Arial" w:cs="Arial" w:hint="default"/>
    </w:rPr>
  </w:style>
  <w:style w:type="character" w:customStyle="1" w:styleId="WW8Num1z1">
    <w:name w:val="WW8Num1z1"/>
    <w:rPr>
      <w:rFonts w:ascii="Courier New" w:hAnsi="Courier New" w:cs="Courier New" w:hint="default"/>
    </w:rPr>
  </w:style>
  <w:style w:type="character" w:customStyle="1" w:styleId="WW8Num1z2">
    <w:name w:val="WW8Num1z2"/>
    <w:rPr>
      <w:rFonts w:ascii="Wingdings" w:hAnsi="Wingdings" w:cs="Wingdings" w:hint="default"/>
    </w:rPr>
  </w:style>
  <w:style w:type="character" w:customStyle="1" w:styleId="WW8Num1z3">
    <w:name w:val="WW8Num1z3"/>
    <w:rPr>
      <w:rFonts w:ascii="Symbol" w:hAnsi="Symbol" w:cs="Symbol" w:hint="default"/>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WW8Num2z0">
    <w:name w:val="WW8Num2z0"/>
    <w:rPr>
      <w:rFonts w:ascii="Symbol" w:hAnsi="Symbol" w:cs="Symbol"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Absatz-Standardschriftart1">
    <w:name w:val="Absatz-Standardschriftart1"/>
  </w:style>
  <w:style w:type="character" w:customStyle="1" w:styleId="KopfzeileZchn">
    <w:name w:val="Kopfzeile Zchn"/>
    <w:basedOn w:val="Absatz-Standardschriftart1"/>
  </w:style>
  <w:style w:type="character" w:customStyle="1" w:styleId="FuzeileZchn">
    <w:name w:val="Fußzeile Zchn"/>
    <w:basedOn w:val="Absatz-Standardschriftart1"/>
  </w:style>
  <w:style w:type="character" w:customStyle="1" w:styleId="SprechblasentextZchn">
    <w:name w:val="Sprechblasentext Zchn"/>
    <w:rPr>
      <w:rFonts w:ascii="Lucida Grande" w:hAnsi="Lucida Grande" w:cs="Lucida Grande"/>
      <w:sz w:val="18"/>
      <w:szCs w:val="18"/>
    </w:rPr>
  </w:style>
  <w:style w:type="character" w:styleId="PlaceholderText">
    <w:name w:val="Placeholder Text"/>
    <w:rPr>
      <w:color w:val="808080"/>
    </w:rPr>
  </w:style>
  <w:style w:type="character" w:styleId="Strong">
    <w:name w:val="Strong"/>
    <w:qFormat/>
    <w:rPr>
      <w:b/>
      <w:bCs/>
    </w:rPr>
  </w:style>
  <w:style w:type="character" w:customStyle="1" w:styleId="NurTextZchn">
    <w:name w:val="Nur Text Zchn"/>
    <w:rPr>
      <w:rFonts w:ascii="Calibri" w:eastAsia="Cambria" w:hAnsi="Calibri" w:cs="Calibri"/>
      <w:sz w:val="22"/>
      <w:szCs w:val="21"/>
    </w:rPr>
  </w:style>
  <w:style w:type="character" w:customStyle="1" w:styleId="Kommentarzeichen1">
    <w:name w:val="Kommentarzeichen1"/>
    <w:rPr>
      <w:sz w:val="16"/>
      <w:szCs w:val="16"/>
    </w:rPr>
  </w:style>
  <w:style w:type="character" w:customStyle="1" w:styleId="KommentartextZchn">
    <w:name w:val="Kommentartext Zchn"/>
    <w:basedOn w:val="Absatz-Standardschriftart1"/>
  </w:style>
  <w:style w:type="character" w:customStyle="1" w:styleId="KommentarthemaZchn">
    <w:name w:val="Kommentarthema Zchn"/>
    <w:rPr>
      <w:b/>
      <w:bCs/>
    </w:rPr>
  </w:style>
  <w:style w:type="character" w:styleId="Hyperlink">
    <w:name w:val="Hyperlink"/>
    <w:rPr>
      <w:color w:val="0000FF"/>
      <w:u w:val="single"/>
    </w:rPr>
  </w:style>
  <w:style w:type="character" w:customStyle="1" w:styleId="berschrift1Zchn">
    <w:name w:val="Überschrift 1 Zchn"/>
    <w:rPr>
      <w:rFonts w:ascii="Times New Roman" w:eastAsia="Times New Roman" w:hAnsi="Times New Roman" w:cs="Times New Roman"/>
      <w:b/>
      <w:bCs/>
      <w:kern w:val="1"/>
      <w:sz w:val="48"/>
      <w:szCs w:val="48"/>
    </w:rPr>
  </w:style>
  <w:style w:type="character" w:customStyle="1" w:styleId="Nummerierungszeichen">
    <w:name w:val="Nummerierungszeichen"/>
  </w:style>
  <w:style w:type="paragraph" w:customStyle="1" w:styleId="berschrift">
    <w:name w:val="Überschrift"/>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customStyle="1" w:styleId="Beschriftung2">
    <w:name w:val="Beschriftung2"/>
    <w:basedOn w:val="Normal"/>
    <w:pPr>
      <w:suppressLineNumbers/>
      <w:spacing w:before="120" w:after="120"/>
    </w:pPr>
    <w:rPr>
      <w:rFonts w:cs="Mangal"/>
      <w:i/>
      <w:iCs/>
    </w:rPr>
  </w:style>
  <w:style w:type="paragraph" w:customStyle="1" w:styleId="Verzeichnis">
    <w:name w:val="Verzeichnis"/>
    <w:basedOn w:val="Normal"/>
    <w:pPr>
      <w:suppressLineNumbers/>
    </w:pPr>
    <w:rPr>
      <w:rFonts w:cs="Mangal"/>
    </w:rPr>
  </w:style>
  <w:style w:type="paragraph" w:customStyle="1" w:styleId="Beschriftung1">
    <w:name w:val="Beschriftung1"/>
    <w:basedOn w:val="Normal"/>
    <w:pPr>
      <w:suppressLineNumbers/>
      <w:spacing w:before="120" w:after="120"/>
    </w:pPr>
    <w:rPr>
      <w:rFonts w:cs="Mangal"/>
      <w:i/>
      <w:iCs/>
    </w:rPr>
  </w:style>
  <w:style w:type="paragraph" w:styleId="Header">
    <w:name w:val="header"/>
    <w:basedOn w:val="Normal"/>
  </w:style>
  <w:style w:type="paragraph" w:styleId="Footer">
    <w:name w:val="footer"/>
    <w:basedOn w:val="Normal"/>
  </w:style>
  <w:style w:type="paragraph" w:styleId="BalloonText">
    <w:name w:val="Balloon Text"/>
    <w:basedOn w:val="Normal"/>
    <w:rPr>
      <w:rFonts w:ascii="Lucida Grande" w:hAnsi="Lucida Grande" w:cs="Lucida Grande"/>
      <w:sz w:val="18"/>
      <w:szCs w:val="18"/>
    </w:rPr>
  </w:style>
  <w:style w:type="paragraph" w:styleId="ListParagraph">
    <w:name w:val="List Paragraph"/>
    <w:basedOn w:val="Normal"/>
    <w:qFormat/>
    <w:pPr>
      <w:ind w:left="720"/>
    </w:pPr>
    <w:rPr>
      <w:rFonts w:ascii="Arial" w:eastAsia="Times New Roman" w:hAnsi="Arial" w:cs="Arial"/>
    </w:rPr>
  </w:style>
  <w:style w:type="paragraph" w:customStyle="1" w:styleId="NurText1">
    <w:name w:val="Nur Text1"/>
    <w:basedOn w:val="Normal"/>
    <w:rPr>
      <w:rFonts w:ascii="Calibri" w:eastAsia="Cambria" w:hAnsi="Calibri" w:cs="Calibri"/>
      <w:sz w:val="22"/>
      <w:szCs w:val="21"/>
    </w:rPr>
  </w:style>
  <w:style w:type="paragraph" w:customStyle="1" w:styleId="Kommentartext1">
    <w:name w:val="Kommentartext1"/>
    <w:basedOn w:val="Normal"/>
    <w:rPr>
      <w:sz w:val="20"/>
      <w:szCs w:val="20"/>
    </w:rPr>
  </w:style>
  <w:style w:type="paragraph" w:styleId="CommentSubject">
    <w:name w:val="annotation subject"/>
    <w:basedOn w:val="Kommentartext1"/>
    <w:next w:val="Kommentartext1"/>
    <w:rPr>
      <w:b/>
      <w:bCs/>
    </w:rPr>
  </w:style>
  <w:style w:type="paragraph" w:styleId="NormalWeb">
    <w:name w:val="Normal (Web)"/>
    <w:basedOn w:val="Normal"/>
    <w:uiPriority w:val="99"/>
    <w:pPr>
      <w:spacing w:before="280" w:after="280"/>
    </w:pPr>
    <w:rPr>
      <w:rFonts w:ascii="Times New Roman" w:eastAsia="Times New Roman" w:hAnsi="Times New Roman" w:cs="Times New Roman"/>
    </w:rPr>
  </w:style>
  <w:style w:type="paragraph" w:customStyle="1" w:styleId="TabellenInhalt">
    <w:name w:val="Tabellen Inhalt"/>
    <w:basedOn w:val="Normal"/>
    <w:pPr>
      <w:suppressLineNumbers/>
    </w:pPr>
  </w:style>
  <w:style w:type="paragraph" w:customStyle="1" w:styleId="Tabellenberschrift">
    <w:name w:val="Tabellen Überschrift"/>
    <w:basedOn w:val="TabellenInhalt"/>
    <w:pPr>
      <w:jc w:val="center"/>
    </w:pPr>
    <w:rPr>
      <w:b/>
      <w:bCs/>
    </w:rPr>
  </w:style>
  <w:style w:type="character" w:customStyle="1" w:styleId="UnresolvedMention">
    <w:name w:val="Unresolved Mention"/>
    <w:basedOn w:val="DefaultParagraphFont"/>
    <w:uiPriority w:val="99"/>
    <w:semiHidden/>
    <w:unhideWhenUsed/>
    <w:rsid w:val="00E776A3"/>
    <w:rPr>
      <w:color w:val="605E5C"/>
      <w:shd w:val="clear" w:color="auto" w:fill="E1DFDD"/>
    </w:rPr>
  </w:style>
  <w:style w:type="paragraph" w:customStyle="1" w:styleId="s10">
    <w:name w:val="s10"/>
    <w:basedOn w:val="Normal"/>
    <w:uiPriority w:val="99"/>
    <w:semiHidden/>
    <w:rsid w:val="00BB5298"/>
    <w:pPr>
      <w:suppressAutoHyphens w:val="0"/>
      <w:spacing w:before="100" w:beforeAutospacing="1" w:after="100" w:afterAutospacing="1"/>
    </w:pPr>
    <w:rPr>
      <w:rFonts w:ascii="Calibri" w:eastAsiaTheme="minorHAnsi" w:hAnsi="Calibri" w:cs="Calibri"/>
      <w:sz w:val="22"/>
      <w:szCs w:val="22"/>
      <w:lang w:eastAsia="de-DE" w:bidi="hi-IN"/>
    </w:rPr>
  </w:style>
  <w:style w:type="paragraph" w:customStyle="1" w:styleId="s12">
    <w:name w:val="s12"/>
    <w:basedOn w:val="Normal"/>
    <w:uiPriority w:val="99"/>
    <w:semiHidden/>
    <w:rsid w:val="00BB5298"/>
    <w:pPr>
      <w:suppressAutoHyphens w:val="0"/>
      <w:spacing w:before="100" w:beforeAutospacing="1" w:after="100" w:afterAutospacing="1"/>
    </w:pPr>
    <w:rPr>
      <w:rFonts w:ascii="Calibri" w:eastAsiaTheme="minorHAnsi" w:hAnsi="Calibri" w:cs="Calibri"/>
      <w:sz w:val="22"/>
      <w:szCs w:val="22"/>
      <w:lang w:eastAsia="de-DE" w:bidi="hi-IN"/>
    </w:rPr>
  </w:style>
  <w:style w:type="character" w:customStyle="1" w:styleId="s9">
    <w:name w:val="s9"/>
    <w:basedOn w:val="DefaultParagraphFont"/>
    <w:rsid w:val="00BB5298"/>
  </w:style>
  <w:style w:type="character" w:customStyle="1" w:styleId="bumpedfont15">
    <w:name w:val="bumpedfont15"/>
    <w:basedOn w:val="DefaultParagraphFont"/>
    <w:rsid w:val="00BB52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5965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tii-group.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20East\Desktop\Pressemeldung_TII%20Group_DE_V6_Vorlage.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C12F5C-0B67-4378-9C40-A31F8058A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Pressemeldung_TII Group_DE_V6_Vorlage</Template>
  <TotalTime>0</TotalTime>
  <Pages>4</Pages>
  <Words>855</Words>
  <Characters>4673</Characters>
  <Application>Microsoft Office Word</Application>
  <DocSecurity>0</DocSecurity>
  <Lines>90</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East</dc:creator>
  <cp:keywords/>
  <cp:lastModifiedBy>Paul East</cp:lastModifiedBy>
  <cp:revision>25</cp:revision>
  <cp:lastPrinted>2022-02-20T13:47:00Z</cp:lastPrinted>
  <dcterms:created xsi:type="dcterms:W3CDTF">2022-02-20T12:17:00Z</dcterms:created>
  <dcterms:modified xsi:type="dcterms:W3CDTF">2022-04-26T12:53:00Z</dcterms:modified>
</cp:coreProperties>
</file>