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60413595" w:rsidR="008D434F" w:rsidRPr="00F83169" w:rsidRDefault="0007693B" w:rsidP="00F83169">
            <w:pPr>
              <w:jc w:val="center"/>
              <w:rPr>
                <w:highlight w:val="yellow"/>
              </w:rPr>
            </w:pPr>
            <w:r w:rsidRPr="00EF1935">
              <w:rPr>
                <w:rFonts w:ascii="Arial" w:hAnsi="Arial"/>
                <w:color w:val="6F6F6F"/>
                <w:sz w:val="20"/>
                <w:szCs w:val="20"/>
              </w:rPr>
              <w:t>09/02/2021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12A6F433" w:rsidR="008D434F" w:rsidRPr="0044279D" w:rsidRDefault="00F93684" w:rsidP="0044279D">
            <w:pPr>
              <w:jc w:val="right"/>
              <w:rPr>
                <w:highlight w:val="yellow"/>
              </w:rPr>
            </w:pPr>
            <w:r>
              <w:rPr>
                <w:rFonts w:ascii="Arial" w:hAnsi="Arial"/>
                <w:color w:val="6F6F6F"/>
                <w:sz w:val="20"/>
                <w:szCs w:val="20"/>
              </w:rPr>
              <w:t>Dippoldiswalde, Ulm</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687DD209" w:rsidR="008D434F" w:rsidRDefault="002F16B5" w:rsidP="0044279D">
            <w:r>
              <w:rPr>
                <w:rStyle w:val="s9"/>
                <w:rFonts w:ascii="Arial" w:hAnsi="Arial"/>
                <w:b/>
                <w:bCs/>
                <w:color w:val="000000"/>
                <w:sz w:val="28"/>
                <w:szCs w:val="28"/>
              </w:rPr>
              <w:t>A success story: KAMAG Transporttechnik and Truck Service Pötzsch expand service partnership to include new vehicle sales in Saxony and the Czech Republic</w:t>
            </w:r>
          </w:p>
        </w:tc>
      </w:tr>
    </w:tbl>
    <w:p w14:paraId="50E1819C" w14:textId="77777777" w:rsidR="00713846" w:rsidRDefault="00713846" w:rsidP="0044279D">
      <w:pPr>
        <w:spacing w:line="360" w:lineRule="auto"/>
        <w:ind w:right="-397"/>
        <w:rPr>
          <w:rFonts w:ascii="Arial" w:hAnsi="Arial" w:cs="Arial"/>
          <w:b/>
        </w:rPr>
      </w:pPr>
    </w:p>
    <w:p w14:paraId="07D205BA" w14:textId="2B7444B2" w:rsidR="00BB5298" w:rsidRPr="00BB5298" w:rsidRDefault="00A0020A" w:rsidP="00B25BDA">
      <w:pPr>
        <w:pStyle w:val="s12"/>
        <w:spacing w:before="0" w:beforeAutospacing="0" w:after="0" w:afterAutospacing="0" w:line="360" w:lineRule="auto"/>
        <w:ind w:left="284" w:right="-425"/>
        <w:rPr>
          <w:sz w:val="24"/>
          <w:szCs w:val="24"/>
        </w:rPr>
      </w:pPr>
      <w:r>
        <w:rPr>
          <w:rStyle w:val="bumpedfont15"/>
          <w:rFonts w:ascii="Arial" w:hAnsi="Arial"/>
          <w:b/>
          <w:bCs/>
          <w:sz w:val="24"/>
          <w:szCs w:val="24"/>
        </w:rPr>
        <w:t>KAMAG service partner Truck Service Pötzsch in Dippoldiswalde, south of Dresden, is significantly expanding its range for the Ulm-based manufacturer of special vehicles. In addition to maintenance and repairs, the company is now also the agents when purchasing the KAMAG Wiesel and Truck Wiesel in the Czech Republic as well as the German "postcode area 0". The extensive range of services offered by Truck Service Pötzsch for everything related with the versatile vehicles for yard logistics also includes vehicle rental, driver training, pick-up and delivery services and replacement vehicles.</w:t>
      </w:r>
    </w:p>
    <w:p w14:paraId="1F326A44" w14:textId="35B0065F" w:rsidR="00BB5298" w:rsidRDefault="00BB5298" w:rsidP="0044279D">
      <w:pPr>
        <w:pStyle w:val="s12"/>
        <w:spacing w:before="0" w:beforeAutospacing="0" w:after="0" w:afterAutospacing="0" w:line="360" w:lineRule="auto"/>
        <w:ind w:left="284"/>
        <w:rPr>
          <w:sz w:val="27"/>
          <w:szCs w:val="27"/>
        </w:rPr>
      </w:pPr>
    </w:p>
    <w:p w14:paraId="75B8A04C" w14:textId="558271CD" w:rsidR="00D8509B" w:rsidRDefault="000C6E86"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cooperation with KAMAG Transporttechnik is a real success story. This is something we are very proud of!”</w:t>
      </w:r>
      <w:r w:rsidR="003960CC">
        <w:rPr>
          <w:rStyle w:val="bumpedfont15"/>
          <w:rFonts w:ascii="Arial" w:hAnsi="Arial"/>
          <w:sz w:val="24"/>
          <w:szCs w:val="24"/>
        </w:rPr>
        <w:t xml:space="preserve"> </w:t>
      </w:r>
      <w:r>
        <w:rPr>
          <w:rStyle w:val="bumpedfont15"/>
          <w:rFonts w:ascii="Arial" w:hAnsi="Arial"/>
          <w:sz w:val="24"/>
          <w:szCs w:val="24"/>
        </w:rPr>
        <w:t xml:space="preserve">explained Axel Fröhlich, Managing Director of Truck Service Pötzsch GmbH. Already the initial contact with KAMAG, a subsidiary of the Transporter Industry International Group (TII Group) owned by the Heilbronn-based Rettenmaier family, proved to be convincing. "From the first telephone call onwards, I have only met courteous and extremely motivated KAMAG employees," reported the company boss. </w:t>
      </w:r>
    </w:p>
    <w:p w14:paraId="2C76A3D4" w14:textId="5E77D82D" w:rsidR="00D8509B" w:rsidRDefault="00D8509B" w:rsidP="0044279D">
      <w:pPr>
        <w:pStyle w:val="s12"/>
        <w:spacing w:before="0" w:beforeAutospacing="0" w:after="0" w:afterAutospacing="0" w:line="360" w:lineRule="auto"/>
        <w:ind w:left="284"/>
        <w:rPr>
          <w:rStyle w:val="bumpedfont15"/>
          <w:rFonts w:ascii="Arial" w:hAnsi="Arial" w:cs="Arial"/>
          <w:sz w:val="24"/>
          <w:szCs w:val="24"/>
        </w:rPr>
      </w:pPr>
    </w:p>
    <w:p w14:paraId="36AD2039" w14:textId="43B3511D" w:rsidR="00D8509B" w:rsidRPr="00D8509B" w:rsidRDefault="00D8509B"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New vehicle business in Saxony and the Czech Republic</w:t>
      </w:r>
    </w:p>
    <w:p w14:paraId="3C43B43D" w14:textId="08549F77" w:rsidR="00773570" w:rsidRDefault="001C1283" w:rsidP="007412CC">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The partners have now crowned what has been a very successful partnership with a significantly expanded collaboration. As the first KAMAG service partner, the company from Dippoldiswalde is now taking on an additional role providing new vehicle consultation and brokering sales contracts for KAMAG as a regional point of contact for customers in the Czech Republic and German postcode area 0. </w:t>
      </w:r>
    </w:p>
    <w:p w14:paraId="4CBE29FC" w14:textId="3176517A" w:rsidR="00773570" w:rsidRDefault="00EE3B40" w:rsidP="00EF1935">
      <w:pPr>
        <w:suppressAutoHyphens w:val="0"/>
        <w:rPr>
          <w:rStyle w:val="bumpedfont15"/>
          <w:rFonts w:ascii="Arial" w:hAnsi="Arial"/>
          <w:b/>
        </w:rPr>
      </w:pPr>
      <w:r>
        <w:br w:type="page"/>
      </w:r>
      <w:r w:rsidR="007412CC">
        <w:rPr>
          <w:rStyle w:val="bumpedfont15"/>
          <w:rFonts w:ascii="Arial" w:hAnsi="Arial"/>
          <w:b/>
        </w:rPr>
        <w:lastRenderedPageBreak/>
        <w:t xml:space="preserve">     </w:t>
      </w:r>
      <w:r w:rsidR="00773570">
        <w:rPr>
          <w:rStyle w:val="bumpedfont15"/>
          <w:rFonts w:ascii="Arial" w:hAnsi="Arial"/>
          <w:b/>
        </w:rPr>
        <w:t>No language barriers - employees speak Czech</w:t>
      </w:r>
    </w:p>
    <w:p w14:paraId="4FB31520" w14:textId="77777777" w:rsidR="007412CC" w:rsidRPr="00E65608" w:rsidRDefault="007412CC" w:rsidP="00EF1935">
      <w:pPr>
        <w:suppressAutoHyphens w:val="0"/>
        <w:rPr>
          <w:rStyle w:val="bumpedfont15"/>
          <w:rFonts w:ascii="Arial" w:hAnsi="Arial" w:cs="Arial"/>
          <w:b/>
        </w:rPr>
      </w:pPr>
    </w:p>
    <w:p w14:paraId="6C23874B" w14:textId="36145EDC" w:rsidR="00BB5298" w:rsidRPr="00773570" w:rsidRDefault="00CA29B0" w:rsidP="0044279D">
      <w:pPr>
        <w:pStyle w:val="s12"/>
        <w:spacing w:before="0" w:beforeAutospacing="0" w:after="0" w:afterAutospacing="0" w:line="360" w:lineRule="auto"/>
        <w:ind w:left="284"/>
        <w:rPr>
          <w:sz w:val="24"/>
          <w:szCs w:val="24"/>
        </w:rPr>
      </w:pPr>
      <w:r>
        <w:rPr>
          <w:rStyle w:val="bumpedfont15"/>
          <w:rFonts w:ascii="Arial" w:hAnsi="Arial"/>
          <w:sz w:val="24"/>
          <w:szCs w:val="24"/>
        </w:rPr>
        <w:t>Customers from the Czech Republic benefit from Truck Service Pötzsch's favourable regional location. Among the company´s employees, there are a number of fluent Czech speakers. In addition, Pötzsch has a permit to cross the border during the current closure due to the corona pandemic. "With Truck Service Pötzsch, customers in the region have a contact person to handle all their needs and whose performance capabilities come close to that of the head office in Ulm," stated Jürgen Haupt, Logistics Sales Manager at KAMAG.</w:t>
      </w:r>
    </w:p>
    <w:p w14:paraId="2A0A4B39" w14:textId="6533E110" w:rsidR="00BB5298" w:rsidRDefault="00BB5298" w:rsidP="0044279D">
      <w:pPr>
        <w:pStyle w:val="s12"/>
        <w:spacing w:before="0" w:beforeAutospacing="0" w:after="0" w:afterAutospacing="0" w:line="360" w:lineRule="auto"/>
        <w:ind w:left="284"/>
        <w:rPr>
          <w:sz w:val="24"/>
          <w:szCs w:val="24"/>
        </w:rPr>
      </w:pPr>
    </w:p>
    <w:p w14:paraId="124E07BE" w14:textId="4552C05A" w:rsidR="002104B3" w:rsidRPr="002104B3" w:rsidRDefault="002104B3" w:rsidP="0044279D">
      <w:pPr>
        <w:pStyle w:val="s12"/>
        <w:spacing w:before="0" w:beforeAutospacing="0" w:after="0" w:afterAutospacing="0" w:line="360" w:lineRule="auto"/>
        <w:ind w:left="284"/>
        <w:rPr>
          <w:rFonts w:ascii="Arial" w:hAnsi="Arial" w:cs="Arial"/>
          <w:b/>
          <w:sz w:val="24"/>
          <w:szCs w:val="24"/>
        </w:rPr>
      </w:pPr>
      <w:r>
        <w:rPr>
          <w:rFonts w:ascii="Arial" w:hAnsi="Arial"/>
          <w:b/>
          <w:sz w:val="24"/>
          <w:szCs w:val="24"/>
        </w:rPr>
        <w:t>Truck Service Pötzsch offers test drives and trains Wiesel drivers</w:t>
      </w:r>
    </w:p>
    <w:p w14:paraId="67F490A9" w14:textId="6F193F1F" w:rsidR="00BB5298" w:rsidRDefault="00755411"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In the course of closer cooperation, Truck Service Pötzsch is also comprehensively expanding its range of services for KAMAG customers. Pötzsch has already offered both maintenance and repairs at its own premises as well as at customers' facilities, and vehicle rentals. The company now also has demonstration vehicles that enables prospective to put the Wiesel through its paces before buying. Furthermore, it can also supply customers at very short notice. In addition, specialists from Truck Service Pötzsch instruct drivers in the handling of the Wiesel.</w:t>
      </w:r>
    </w:p>
    <w:p w14:paraId="4102A72E" w14:textId="1DD47577" w:rsidR="001C1283" w:rsidRDefault="001C1283" w:rsidP="0044279D">
      <w:pPr>
        <w:pStyle w:val="s12"/>
        <w:spacing w:before="0" w:beforeAutospacing="0" w:after="0" w:afterAutospacing="0" w:line="360" w:lineRule="auto"/>
        <w:ind w:left="284"/>
        <w:rPr>
          <w:rStyle w:val="bumpedfont15"/>
          <w:rFonts w:ascii="Arial" w:hAnsi="Arial" w:cs="Arial"/>
          <w:sz w:val="24"/>
          <w:szCs w:val="24"/>
        </w:rPr>
      </w:pPr>
    </w:p>
    <w:p w14:paraId="261448CA" w14:textId="77777777" w:rsidR="008C1000" w:rsidRPr="003D726C" w:rsidRDefault="008C1000" w:rsidP="008C1000">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Extensive range of services provided by the Wiesel</w:t>
      </w:r>
    </w:p>
    <w:p w14:paraId="7AAB2354" w14:textId="36978A6A" w:rsidR="001C1283" w:rsidRDefault="001C1283"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Pötzsch scope of services also include a 24/7 hotline, warranty settlement with KAMAG, a pick-up and delivery service along with the provision of a replacement vehicle for the duration of the service work. “The availability of the vehicle is a very important aspect for Wiesel customers. Quality demands on yard logistics are immensely high. As the volume of swap bodies is constantly rising due to the strong increase in online trading, efficient processes at the depot must be guaranteed. In this respect, we are a reliable partner for our customers. We always find a solution!”, explained company boss, Fröhlich. However, customers can still purchase the Wiesel directly from KAMAG in Ulm.</w:t>
      </w:r>
    </w:p>
    <w:p w14:paraId="6EA5CB9D" w14:textId="77777777" w:rsidR="00F83169" w:rsidRDefault="00F83169" w:rsidP="0044279D">
      <w:pPr>
        <w:pStyle w:val="s12"/>
        <w:spacing w:before="0" w:beforeAutospacing="0" w:after="0" w:afterAutospacing="0" w:line="360" w:lineRule="auto"/>
        <w:ind w:left="284"/>
        <w:rPr>
          <w:rStyle w:val="bumpedfont15"/>
          <w:rFonts w:ascii="Arial" w:hAnsi="Arial" w:cs="Arial"/>
          <w:sz w:val="24"/>
          <w:szCs w:val="24"/>
        </w:rPr>
      </w:pPr>
    </w:p>
    <w:p w14:paraId="1C2B7809" w14:textId="36878168" w:rsidR="002F4B6C" w:rsidRPr="002F4B6C" w:rsidRDefault="00A05B92" w:rsidP="00A05B92">
      <w:pPr>
        <w:pStyle w:val="s12"/>
        <w:spacing w:before="0" w:beforeAutospacing="0" w:after="0" w:afterAutospacing="0" w:line="360" w:lineRule="auto"/>
        <w:ind w:left="284"/>
        <w:rPr>
          <w:rStyle w:val="bumpedfont15"/>
          <w:rFonts w:ascii="Arial" w:hAnsi="Arial" w:cs="Arial"/>
          <w:b/>
          <w:bCs/>
          <w:sz w:val="24"/>
          <w:szCs w:val="24"/>
        </w:rPr>
      </w:pPr>
      <w:r>
        <w:rPr>
          <w:rStyle w:val="bumpedfont15"/>
          <w:rFonts w:ascii="Arial" w:hAnsi="Arial"/>
          <w:b/>
          <w:bCs/>
          <w:sz w:val="24"/>
          <w:szCs w:val="24"/>
        </w:rPr>
        <w:lastRenderedPageBreak/>
        <w:t>KAMAG Wiesel: Europe's bestseller for yard logistics</w:t>
      </w:r>
    </w:p>
    <w:p w14:paraId="5208C179" w14:textId="4520DD93" w:rsidR="00A05B92" w:rsidRPr="00D86D0C" w:rsidRDefault="00A05B92" w:rsidP="00A05B92">
      <w:pPr>
        <w:spacing w:line="360" w:lineRule="auto"/>
        <w:ind w:left="284"/>
        <w:rPr>
          <w:rFonts w:ascii="Arial" w:hAnsi="Arial" w:cs="Arial"/>
        </w:rPr>
      </w:pPr>
      <w:r>
        <w:rPr>
          <w:rFonts w:ascii="Arial" w:hAnsi="Arial"/>
        </w:rPr>
        <w:t xml:space="preserve">The Wiesel is a true success story from KAMAG. The Ulm-based manufacturer of special vehicles has now sold several thousand units of the swap body lifting truck. Demand continues to grow. In addition to customers in Germany, Austria and Switzerland, customers from Scandinavia, Western and Eastern Europe are meanwhile increasingly investing in the Wiesel. The main reason for this is the sustained boom in internet trading and thus the increasing demands on professional yard logistics and cost-effective vehicle and container handling. With its efficient and modern drive train, the new Wiesel generation makes a significant contribution to ensuring that yard logistics can be handled as climate-friendly as possible. </w:t>
      </w:r>
    </w:p>
    <w:p w14:paraId="6FF0BA6A" w14:textId="6DF5A88C" w:rsidR="00A05B92" w:rsidRPr="00D86D0C" w:rsidRDefault="00A05B92" w:rsidP="00A05B92">
      <w:pPr>
        <w:spacing w:line="360" w:lineRule="auto"/>
        <w:ind w:left="284"/>
        <w:rPr>
          <w:rFonts w:ascii="Arial" w:hAnsi="Arial" w:cs="Arial"/>
        </w:rPr>
      </w:pPr>
    </w:p>
    <w:p w14:paraId="09EE9222" w14:textId="747DA10A" w:rsidR="00E2234B" w:rsidRPr="00E2234B" w:rsidRDefault="00E2234B" w:rsidP="0044279D">
      <w:pPr>
        <w:pStyle w:val="s12"/>
        <w:spacing w:before="0" w:beforeAutospacing="0" w:after="0" w:afterAutospacing="0" w:line="360" w:lineRule="auto"/>
        <w:ind w:left="284"/>
        <w:rPr>
          <w:rFonts w:ascii="Arial" w:hAnsi="Arial" w:cs="Arial"/>
          <w:b/>
          <w:sz w:val="24"/>
          <w:szCs w:val="24"/>
        </w:rPr>
      </w:pPr>
      <w:r>
        <w:rPr>
          <w:rFonts w:ascii="Arial" w:hAnsi="Arial"/>
          <w:b/>
          <w:sz w:val="24"/>
          <w:szCs w:val="24"/>
        </w:rPr>
        <w:t>Close-knit service network with 14 exclusive contractual partners</w:t>
      </w:r>
    </w:p>
    <w:p w14:paraId="7055BD7E" w14:textId="360E55D1" w:rsidR="00142762" w:rsidRPr="00D86D0C" w:rsidRDefault="00142762" w:rsidP="0044279D">
      <w:pPr>
        <w:pStyle w:val="s12"/>
        <w:spacing w:before="0" w:beforeAutospacing="0" w:after="0" w:afterAutospacing="0" w:line="360" w:lineRule="auto"/>
        <w:ind w:left="284"/>
        <w:rPr>
          <w:rFonts w:ascii="Arial" w:hAnsi="Arial" w:cs="Arial"/>
          <w:sz w:val="24"/>
          <w:szCs w:val="24"/>
        </w:rPr>
      </w:pPr>
      <w:r>
        <w:rPr>
          <w:rFonts w:ascii="Arial" w:hAnsi="Arial"/>
          <w:sz w:val="24"/>
          <w:szCs w:val="24"/>
        </w:rPr>
        <w:t>KAMAG Transporttechnik is continuously optimising the service network for its yard logistics vehicles. Currently, 14 exclusive contractual partners who are specially trained in Wiesel technology cover the whole of Germany. By using the Click4Parts online shop, customers can conveniently and easily obtain high-quality original spare parts for vehicles of the Wiesel series.</w:t>
      </w:r>
    </w:p>
    <w:p w14:paraId="216AFC33" w14:textId="77777777" w:rsidR="002068FF" w:rsidRPr="00D86D0C" w:rsidRDefault="002068FF" w:rsidP="0044279D">
      <w:pPr>
        <w:pStyle w:val="s12"/>
        <w:spacing w:before="0" w:beforeAutospacing="0" w:after="0" w:afterAutospacing="0" w:line="360" w:lineRule="auto"/>
        <w:ind w:left="284"/>
        <w:rPr>
          <w:rFonts w:ascii="Arial" w:hAnsi="Arial" w:cs="Arial"/>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t>Photo:</w:t>
      </w:r>
    </w:p>
    <w:p w14:paraId="33705131" w14:textId="23208678" w:rsidR="00BB5298" w:rsidRPr="002068FF" w:rsidRDefault="007E6737"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Successful partnership: </w:t>
      </w:r>
      <w:r w:rsidR="007412CC">
        <w:rPr>
          <w:rStyle w:val="bumpedfont15"/>
          <w:rFonts w:ascii="Arial" w:hAnsi="Arial"/>
          <w:sz w:val="24"/>
          <w:szCs w:val="24"/>
        </w:rPr>
        <w:t>t</w:t>
      </w:r>
      <w:r>
        <w:rPr>
          <w:rStyle w:val="bumpedfont15"/>
          <w:rFonts w:ascii="Arial" w:hAnsi="Arial"/>
          <w:sz w:val="24"/>
          <w:szCs w:val="24"/>
        </w:rPr>
        <w:t>he Truck Service Pötzsch team now also sells the KAMAG Wiesel and KAMAG Truck Wiesel. A low loader for pick-ups and deliveries is also part of the extensive range of services.</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b/>
          <w:sz w:val="18"/>
          <w:szCs w:val="18"/>
        </w:rPr>
        <w:t>Company profile</w:t>
      </w:r>
    </w:p>
    <w:p w14:paraId="487D35B1" w14:textId="30056122" w:rsidR="008D434F" w:rsidRPr="00EF1935" w:rsidRDefault="00B57A1B" w:rsidP="0044279D">
      <w:pPr>
        <w:spacing w:line="360" w:lineRule="auto"/>
        <w:ind w:left="284"/>
        <w:rPr>
          <w:sz w:val="18"/>
          <w:szCs w:val="18"/>
        </w:rPr>
      </w:pPr>
      <w:r w:rsidRPr="00626012">
        <w:rPr>
          <w:rFonts w:ascii="Arial" w:hAnsi="Arial"/>
          <w:sz w:val="18"/>
          <w:szCs w:val="18"/>
        </w:rPr>
        <w:t>The Transport</w:t>
      </w:r>
      <w:r w:rsidRPr="007412CC">
        <w:rPr>
          <w:rFonts w:ascii="Arial" w:hAnsi="Arial"/>
          <w:sz w:val="18"/>
          <w:szCs w:val="18"/>
        </w:rPr>
        <w:t xml:space="preserve">er Industry International Group (TII Group) belongs to the Rettenmaier entrepreneurial family and is a globally active manufacturer of heavy-duty and special vehicles. It is comprised of the Scheuerle, Nicolas, Kamag and TIIger brands, and has a workforce of around 900 employees. </w:t>
      </w:r>
      <w:r w:rsidRPr="00EF1935">
        <w:rPr>
          <w:rFonts w:ascii="Arial" w:hAnsi="Arial"/>
          <w:sz w:val="18"/>
          <w:szCs w:val="18"/>
        </w:rPr>
        <w:t>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w:t>
      </w:r>
      <w:r w:rsidRPr="00626012">
        <w:rPr>
          <w:rFonts w:ascii="Arial" w:hAnsi="Arial"/>
          <w:sz w:val="18"/>
          <w:szCs w:val="18"/>
        </w:rPr>
        <w:t xml:space="preserve"> Transport assignments include construction machinery, wind turbine facilities, ships,  antennas </w:t>
      </w:r>
      <w:r w:rsidRPr="00626012">
        <w:rPr>
          <w:rFonts w:ascii="Arial" w:hAnsi="Arial"/>
          <w:sz w:val="18"/>
          <w:szCs w:val="18"/>
        </w:rPr>
        <w:lastRenderedPageBreak/>
        <w:t xml:space="preserve">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636839" w:rsidRDefault="009A0B68" w:rsidP="0044279D">
      <w:pPr>
        <w:spacing w:line="360" w:lineRule="auto"/>
        <w:ind w:left="284"/>
        <w:rPr>
          <w:rFonts w:ascii="Arial" w:hAnsi="Arial" w:cs="Arial"/>
          <w:sz w:val="18"/>
          <w:szCs w:val="18"/>
        </w:rPr>
      </w:pPr>
      <w:hyperlink r:id="rId8" w:history="1">
        <w:r w:rsidR="0007693B">
          <w:rPr>
            <w:rStyle w:val="Hyperlink"/>
            <w:rFonts w:ascii="Arial" w:hAnsi="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Pr>
          <w:rFonts w:ascii="Arial" w:hAnsi="Arial"/>
          <w:b/>
          <w:sz w:val="18"/>
          <w:szCs w:val="18"/>
        </w:rPr>
        <w:t>Press contact</w:t>
      </w:r>
    </w:p>
    <w:p w14:paraId="0D226021" w14:textId="18CBFC7C" w:rsidR="008D434F" w:rsidRPr="0044279D" w:rsidRDefault="0044279D" w:rsidP="0044279D">
      <w:pPr>
        <w:ind w:left="284" w:hanging="284"/>
        <w:rPr>
          <w:rFonts w:ascii="Arial" w:hAnsi="Arial" w:cs="Arial"/>
          <w:sz w:val="18"/>
          <w:szCs w:val="18"/>
        </w:rPr>
      </w:pPr>
      <w:r>
        <w:rPr>
          <w:rFonts w:ascii="Arial" w:hAnsi="Arial"/>
          <w:sz w:val="22"/>
          <w:szCs w:val="22"/>
        </w:rPr>
        <w:tab/>
      </w:r>
      <w:r>
        <w:rPr>
          <w:rFonts w:ascii="Arial" w:hAnsi="Arial"/>
          <w:sz w:val="18"/>
          <w:szCs w:val="18"/>
        </w:rPr>
        <w:t>Volker Seitz</w:t>
      </w:r>
    </w:p>
    <w:p w14:paraId="7ACE799F" w14:textId="77777777" w:rsidR="008D434F" w:rsidRPr="0044279D" w:rsidRDefault="00B57A1B" w:rsidP="0044279D">
      <w:pPr>
        <w:ind w:left="284"/>
        <w:rPr>
          <w:rFonts w:ascii="Arial" w:hAnsi="Arial" w:cs="Arial"/>
          <w:sz w:val="18"/>
          <w:szCs w:val="18"/>
        </w:rPr>
      </w:pPr>
      <w:r>
        <w:rPr>
          <w:rFonts w:ascii="Arial" w:hAnsi="Arial"/>
          <w:sz w:val="18"/>
          <w:szCs w:val="18"/>
        </w:rPr>
        <w:t>Head of Global Marketing &amp; Communication</w:t>
      </w:r>
      <w:r>
        <w:rPr>
          <w:rFonts w:ascii="Arial" w:hAnsi="Arial"/>
          <w:sz w:val="18"/>
          <w:szCs w:val="18"/>
        </w:rPr>
        <w:br/>
        <w:t>Tel: +49 (0)7941 / 691-2187</w:t>
      </w:r>
      <w:r>
        <w:rPr>
          <w:rFonts w:ascii="Arial" w:hAnsi="Arial"/>
          <w:sz w:val="18"/>
          <w:szCs w:val="18"/>
        </w:rPr>
        <w:br/>
        <w:t>Volker.Seitz@Tii-Group.com</w:t>
      </w:r>
    </w:p>
    <w:sectPr w:rsidR="008D434F" w:rsidRPr="0044279D" w:rsidSect="002F4B6C">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D36B" w14:textId="77777777" w:rsidR="009A0B68" w:rsidRDefault="009A0B68">
      <w:r>
        <w:separator/>
      </w:r>
    </w:p>
  </w:endnote>
  <w:endnote w:type="continuationSeparator" w:id="0">
    <w:p w14:paraId="1E9B36EA" w14:textId="77777777" w:rsidR="009A0B68" w:rsidRDefault="009A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20B06000405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5BF5" w14:textId="77777777" w:rsidR="00EF1935" w:rsidRDefault="00EF19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EEA2" w14:textId="32686289"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3960CC">
      <w:rPr>
        <w:rFonts w:cs="Arial"/>
        <w:bCs/>
        <w:i/>
        <w:noProof/>
        <w:sz w:val="12"/>
        <w:szCs w:val="12"/>
      </w:rPr>
      <w:t>1</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3960CC">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AE52" w14:textId="77777777" w:rsidR="00EF1935" w:rsidRDefault="00EF19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C0306" w14:textId="77777777" w:rsidR="009A0B68" w:rsidRDefault="009A0B68">
      <w:r>
        <w:separator/>
      </w:r>
    </w:p>
  </w:footnote>
  <w:footnote w:type="continuationSeparator" w:id="0">
    <w:p w14:paraId="233D82FE" w14:textId="77777777" w:rsidR="009A0B68" w:rsidRDefault="009A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3ED4" w14:textId="77777777" w:rsidR="00EF1935" w:rsidRDefault="00EF19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124B" w14:textId="77777777" w:rsidR="00EF1935" w:rsidRDefault="00EF19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3B"/>
    <w:rsid w:val="00003377"/>
    <w:rsid w:val="0004687E"/>
    <w:rsid w:val="00060D20"/>
    <w:rsid w:val="0007693B"/>
    <w:rsid w:val="0009065F"/>
    <w:rsid w:val="000A3EE8"/>
    <w:rsid w:val="000A7528"/>
    <w:rsid w:val="000C499E"/>
    <w:rsid w:val="000C6E86"/>
    <w:rsid w:val="000D0614"/>
    <w:rsid w:val="000D44EA"/>
    <w:rsid w:val="000F27B7"/>
    <w:rsid w:val="000F27E3"/>
    <w:rsid w:val="00114AB5"/>
    <w:rsid w:val="00130D21"/>
    <w:rsid w:val="00142762"/>
    <w:rsid w:val="00163278"/>
    <w:rsid w:val="001648F7"/>
    <w:rsid w:val="00164956"/>
    <w:rsid w:val="0019167A"/>
    <w:rsid w:val="001A38BB"/>
    <w:rsid w:val="001B4B0A"/>
    <w:rsid w:val="001C0728"/>
    <w:rsid w:val="001C1283"/>
    <w:rsid w:val="001D4AFB"/>
    <w:rsid w:val="001E2510"/>
    <w:rsid w:val="001E2FCF"/>
    <w:rsid w:val="001E44A7"/>
    <w:rsid w:val="001E4DC0"/>
    <w:rsid w:val="0020081A"/>
    <w:rsid w:val="002068FF"/>
    <w:rsid w:val="002104B3"/>
    <w:rsid w:val="00234461"/>
    <w:rsid w:val="002424A3"/>
    <w:rsid w:val="002770D7"/>
    <w:rsid w:val="00277EAB"/>
    <w:rsid w:val="002B003C"/>
    <w:rsid w:val="002B3481"/>
    <w:rsid w:val="002C70D2"/>
    <w:rsid w:val="002D3404"/>
    <w:rsid w:val="002D5BEA"/>
    <w:rsid w:val="002F126B"/>
    <w:rsid w:val="002F16B5"/>
    <w:rsid w:val="002F4643"/>
    <w:rsid w:val="002F4B6C"/>
    <w:rsid w:val="002F7C6F"/>
    <w:rsid w:val="00313EF8"/>
    <w:rsid w:val="00352EED"/>
    <w:rsid w:val="0036211F"/>
    <w:rsid w:val="0037008B"/>
    <w:rsid w:val="0037253D"/>
    <w:rsid w:val="00377313"/>
    <w:rsid w:val="00392D33"/>
    <w:rsid w:val="003960CC"/>
    <w:rsid w:val="003B39F6"/>
    <w:rsid w:val="003B694C"/>
    <w:rsid w:val="003D4B7A"/>
    <w:rsid w:val="003F3793"/>
    <w:rsid w:val="004105E2"/>
    <w:rsid w:val="00414DCC"/>
    <w:rsid w:val="00431E0F"/>
    <w:rsid w:val="0044279D"/>
    <w:rsid w:val="00450D48"/>
    <w:rsid w:val="004568A9"/>
    <w:rsid w:val="00460C8B"/>
    <w:rsid w:val="00471616"/>
    <w:rsid w:val="004A1CAD"/>
    <w:rsid w:val="004A58C6"/>
    <w:rsid w:val="004B4A23"/>
    <w:rsid w:val="004C3415"/>
    <w:rsid w:val="004D5E19"/>
    <w:rsid w:val="004E0FAD"/>
    <w:rsid w:val="005061DA"/>
    <w:rsid w:val="00507923"/>
    <w:rsid w:val="00512EC6"/>
    <w:rsid w:val="005304CB"/>
    <w:rsid w:val="00566E05"/>
    <w:rsid w:val="005675E2"/>
    <w:rsid w:val="0057496F"/>
    <w:rsid w:val="005A516D"/>
    <w:rsid w:val="005C2EB0"/>
    <w:rsid w:val="005D45DF"/>
    <w:rsid w:val="005E2E13"/>
    <w:rsid w:val="00600627"/>
    <w:rsid w:val="00604734"/>
    <w:rsid w:val="00612EDD"/>
    <w:rsid w:val="00626012"/>
    <w:rsid w:val="00636839"/>
    <w:rsid w:val="00660B40"/>
    <w:rsid w:val="00663A5B"/>
    <w:rsid w:val="00667E19"/>
    <w:rsid w:val="00683646"/>
    <w:rsid w:val="00683FBC"/>
    <w:rsid w:val="006B0ABA"/>
    <w:rsid w:val="006E3143"/>
    <w:rsid w:val="006E563B"/>
    <w:rsid w:val="006F33DA"/>
    <w:rsid w:val="007122EC"/>
    <w:rsid w:val="00713846"/>
    <w:rsid w:val="007412CC"/>
    <w:rsid w:val="00755411"/>
    <w:rsid w:val="00766C73"/>
    <w:rsid w:val="00773570"/>
    <w:rsid w:val="007A054D"/>
    <w:rsid w:val="007B0B7D"/>
    <w:rsid w:val="007D7FA3"/>
    <w:rsid w:val="007E14DD"/>
    <w:rsid w:val="007E2DBB"/>
    <w:rsid w:val="007E6737"/>
    <w:rsid w:val="007E6EAD"/>
    <w:rsid w:val="007F0256"/>
    <w:rsid w:val="007F660B"/>
    <w:rsid w:val="0080569B"/>
    <w:rsid w:val="008106D4"/>
    <w:rsid w:val="008136A7"/>
    <w:rsid w:val="00867404"/>
    <w:rsid w:val="008A4BE0"/>
    <w:rsid w:val="008A5E52"/>
    <w:rsid w:val="008A6E3F"/>
    <w:rsid w:val="008B3264"/>
    <w:rsid w:val="008B6D3A"/>
    <w:rsid w:val="008C1000"/>
    <w:rsid w:val="008C41AB"/>
    <w:rsid w:val="008C5E21"/>
    <w:rsid w:val="008D434F"/>
    <w:rsid w:val="008E42E7"/>
    <w:rsid w:val="00907177"/>
    <w:rsid w:val="00907F11"/>
    <w:rsid w:val="00925571"/>
    <w:rsid w:val="0093041E"/>
    <w:rsid w:val="00933912"/>
    <w:rsid w:val="00967C8E"/>
    <w:rsid w:val="00980CC1"/>
    <w:rsid w:val="0099526B"/>
    <w:rsid w:val="009A0B68"/>
    <w:rsid w:val="009B2ED5"/>
    <w:rsid w:val="009C325B"/>
    <w:rsid w:val="009D60DC"/>
    <w:rsid w:val="009D6300"/>
    <w:rsid w:val="00A0020A"/>
    <w:rsid w:val="00A05B92"/>
    <w:rsid w:val="00A5134D"/>
    <w:rsid w:val="00A562D0"/>
    <w:rsid w:val="00A64D60"/>
    <w:rsid w:val="00A91E69"/>
    <w:rsid w:val="00AA4D3F"/>
    <w:rsid w:val="00AC117A"/>
    <w:rsid w:val="00AE7AC4"/>
    <w:rsid w:val="00AF72A5"/>
    <w:rsid w:val="00B17628"/>
    <w:rsid w:val="00B2248D"/>
    <w:rsid w:val="00B25BDA"/>
    <w:rsid w:val="00B31228"/>
    <w:rsid w:val="00B50858"/>
    <w:rsid w:val="00B57A1B"/>
    <w:rsid w:val="00B77551"/>
    <w:rsid w:val="00B81524"/>
    <w:rsid w:val="00B929AD"/>
    <w:rsid w:val="00BA7B7C"/>
    <w:rsid w:val="00BB2CF0"/>
    <w:rsid w:val="00BB5298"/>
    <w:rsid w:val="00BF7E90"/>
    <w:rsid w:val="00C02511"/>
    <w:rsid w:val="00C1487A"/>
    <w:rsid w:val="00C33F03"/>
    <w:rsid w:val="00C37472"/>
    <w:rsid w:val="00C51FD6"/>
    <w:rsid w:val="00C65EFB"/>
    <w:rsid w:val="00C93F4A"/>
    <w:rsid w:val="00CA29B0"/>
    <w:rsid w:val="00CC252C"/>
    <w:rsid w:val="00CC3F17"/>
    <w:rsid w:val="00CE67AC"/>
    <w:rsid w:val="00CF1FEA"/>
    <w:rsid w:val="00CF66F9"/>
    <w:rsid w:val="00D14D01"/>
    <w:rsid w:val="00D30FAB"/>
    <w:rsid w:val="00D41316"/>
    <w:rsid w:val="00D554D2"/>
    <w:rsid w:val="00D66235"/>
    <w:rsid w:val="00D67C07"/>
    <w:rsid w:val="00D84583"/>
    <w:rsid w:val="00D8509B"/>
    <w:rsid w:val="00D86D0C"/>
    <w:rsid w:val="00DB32C5"/>
    <w:rsid w:val="00DD1A53"/>
    <w:rsid w:val="00DE5CDD"/>
    <w:rsid w:val="00DF33E3"/>
    <w:rsid w:val="00DF5F79"/>
    <w:rsid w:val="00E2234B"/>
    <w:rsid w:val="00E25FB3"/>
    <w:rsid w:val="00E459C3"/>
    <w:rsid w:val="00E51470"/>
    <w:rsid w:val="00E53480"/>
    <w:rsid w:val="00E767B4"/>
    <w:rsid w:val="00E776A3"/>
    <w:rsid w:val="00EA6122"/>
    <w:rsid w:val="00ED5D6D"/>
    <w:rsid w:val="00EE3B40"/>
    <w:rsid w:val="00EE4B8B"/>
    <w:rsid w:val="00EF14BF"/>
    <w:rsid w:val="00EF1935"/>
    <w:rsid w:val="00EF7906"/>
    <w:rsid w:val="00F55C41"/>
    <w:rsid w:val="00F60178"/>
    <w:rsid w:val="00F81072"/>
    <w:rsid w:val="00F81D01"/>
    <w:rsid w:val="00F83169"/>
    <w:rsid w:val="00F93684"/>
    <w:rsid w:val="00FA6A9C"/>
    <w:rsid w:val="00FB1455"/>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E363A"/>
  <w15:docId w15:val="{5E4457FB-3738-F94A-94A4-DC0B96DB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CCDA-C40A-4DBB-A6E6-A99BA0C0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 East\Desktop\Pressemeldung_TII Group_DE_V6_Vorlage.dotx</Template>
  <TotalTime>0</TotalTime>
  <Pages>4</Pages>
  <Words>888</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Scheuerle Fahrzeugfabrik GmbH</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dc:creator>
  <cp:lastModifiedBy>Sahera Steck</cp:lastModifiedBy>
  <cp:revision>10</cp:revision>
  <cp:lastPrinted>2020-12-04T16:28:00Z</cp:lastPrinted>
  <dcterms:created xsi:type="dcterms:W3CDTF">2021-02-01T09:50:00Z</dcterms:created>
  <dcterms:modified xsi:type="dcterms:W3CDTF">2021-02-09T10:40:00Z</dcterms:modified>
</cp:coreProperties>
</file>