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rsidRPr="00BF6003"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5E2DF056" w:rsidR="008D434F" w:rsidRPr="00BF6003" w:rsidRDefault="00BF6003" w:rsidP="0044279D">
            <w:pPr>
              <w:jc w:val="right"/>
            </w:pPr>
            <w:r w:rsidRPr="00BF6003">
              <w:rPr>
                <w:rFonts w:ascii="Arial" w:hAnsi="Arial"/>
                <w:color w:val="6F6F6F"/>
                <w:sz w:val="20"/>
                <w:szCs w:val="20"/>
              </w:rPr>
              <w:t>Dec. 18</w:t>
            </w:r>
            <w:r w:rsidRPr="00BF6003">
              <w:rPr>
                <w:rFonts w:ascii="Arial" w:hAnsi="Arial"/>
                <w:color w:val="6F6F6F"/>
                <w:sz w:val="20"/>
                <w:szCs w:val="20"/>
                <w:vertAlign w:val="superscript"/>
              </w:rPr>
              <w:t>th</w:t>
            </w:r>
            <w:r w:rsidRPr="00BF6003">
              <w:rPr>
                <w:rFonts w:ascii="Arial" w:hAnsi="Arial"/>
                <w:color w:val="6F6F6F"/>
                <w:sz w:val="20"/>
                <w:szCs w:val="20"/>
              </w:rPr>
              <w:t xml:space="preserve">, </w:t>
            </w:r>
            <w:r w:rsidR="0044279D" w:rsidRPr="00BF6003">
              <w:rPr>
                <w:rFonts w:ascii="Arial" w:hAnsi="Arial"/>
                <w:color w:val="6F6F6F"/>
                <w:sz w:val="20"/>
                <w:szCs w:val="20"/>
              </w:rPr>
              <w:t>2020</w:t>
            </w:r>
          </w:p>
        </w:tc>
        <w:bookmarkStart w:id="0" w:name="_GoBack"/>
        <w:bookmarkEnd w:id="0"/>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53DBAB17" w:rsidR="008D434F" w:rsidRPr="0044279D" w:rsidRDefault="00431E0F" w:rsidP="0044279D">
            <w:pPr>
              <w:jc w:val="right"/>
              <w:rPr>
                <w:highlight w:val="yellow"/>
              </w:rPr>
            </w:pPr>
            <w:proofErr w:type="spellStart"/>
            <w:r>
              <w:rPr>
                <w:rFonts w:ascii="Arial" w:hAnsi="Arial"/>
                <w:color w:val="6F6F6F"/>
                <w:sz w:val="20"/>
                <w:szCs w:val="20"/>
              </w:rPr>
              <w:t>Pfedelbach</w:t>
            </w:r>
            <w:proofErr w:type="spellEnd"/>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4ADD4071" w:rsidR="008D434F" w:rsidRDefault="000D1EA5" w:rsidP="0044279D">
            <w:r>
              <w:rPr>
                <w:rStyle w:val="s9"/>
                <w:rFonts w:ascii="Arial" w:hAnsi="Arial"/>
                <w:b/>
                <w:bCs/>
                <w:color w:val="000000"/>
                <w:sz w:val="28"/>
                <w:szCs w:val="28"/>
              </w:rPr>
              <w:t>SCHEUERLE further develops Power Pack Units Z180 and Z390:</w:t>
            </w:r>
            <w:r>
              <w:rPr>
                <w:rStyle w:val="s9"/>
                <w:rFonts w:ascii="Arial" w:hAnsi="Arial"/>
                <w:b/>
                <w:bCs/>
                <w:color w:val="000000"/>
                <w:sz w:val="28"/>
                <w:szCs w:val="28"/>
              </w:rPr>
              <w:cr/>
            </w:r>
            <w:r>
              <w:rPr>
                <w:rStyle w:val="s9"/>
                <w:rFonts w:ascii="Arial" w:hAnsi="Arial"/>
                <w:b/>
                <w:bCs/>
                <w:color w:val="000000"/>
                <w:sz w:val="28"/>
                <w:szCs w:val="28"/>
              </w:rPr>
              <w:br/>
              <w:t>modern operational concept, simple diagnostic options</w:t>
            </w:r>
          </w:p>
        </w:tc>
      </w:tr>
    </w:tbl>
    <w:p w14:paraId="50E1819C" w14:textId="77777777" w:rsidR="00713846" w:rsidRDefault="00713846" w:rsidP="0044279D">
      <w:pPr>
        <w:spacing w:line="360" w:lineRule="auto"/>
        <w:ind w:right="-397"/>
        <w:rPr>
          <w:rFonts w:ascii="Arial" w:hAnsi="Arial" w:cs="Arial"/>
          <w:b/>
        </w:rPr>
      </w:pPr>
    </w:p>
    <w:p w14:paraId="07D205BA" w14:textId="2CD8B2D1" w:rsidR="00BB5298" w:rsidRPr="00BB5298" w:rsidRDefault="00BE1020" w:rsidP="00B25BDA">
      <w:pPr>
        <w:pStyle w:val="s12"/>
        <w:spacing w:before="0" w:beforeAutospacing="0" w:after="0" w:afterAutospacing="0" w:line="360" w:lineRule="auto"/>
        <w:ind w:left="284" w:right="-425"/>
        <w:rPr>
          <w:sz w:val="24"/>
          <w:szCs w:val="24"/>
        </w:rPr>
      </w:pPr>
      <w:r>
        <w:rPr>
          <w:rStyle w:val="bumpedfont15"/>
          <w:rFonts w:ascii="Arial" w:hAnsi="Arial"/>
          <w:b/>
          <w:bCs/>
          <w:sz w:val="24"/>
          <w:szCs w:val="24"/>
        </w:rPr>
        <w:t>SCHEUERLE</w:t>
      </w:r>
      <w:r w:rsidR="00BF6003">
        <w:rPr>
          <w:rStyle w:val="bumpedfont15"/>
          <w:rFonts w:ascii="Arial" w:hAnsi="Arial"/>
          <w:b/>
          <w:bCs/>
          <w:sz w:val="24"/>
          <w:szCs w:val="24"/>
        </w:rPr>
        <w:t xml:space="preserve"> </w:t>
      </w:r>
      <w:r>
        <w:rPr>
          <w:rStyle w:val="bumpedfont15"/>
          <w:rFonts w:ascii="Arial" w:hAnsi="Arial"/>
          <w:b/>
          <w:bCs/>
          <w:sz w:val="24"/>
          <w:szCs w:val="24"/>
        </w:rPr>
        <w:t>has upgraded its Power Pack Units (PPU) Z180 and Z390. Users benefit from the high level of user-friendliness of the new twelve-inch touch display and extensively optimised diagnostic possibilities. The Z180 and Z390 PPUs are used to drive SPMT modules (Self Propelled Modular Transporter).</w:t>
      </w:r>
    </w:p>
    <w:p w14:paraId="1F326A44" w14:textId="7383A59D" w:rsidR="00BB5298" w:rsidRDefault="00BB5298" w:rsidP="0044279D">
      <w:pPr>
        <w:pStyle w:val="s12"/>
        <w:spacing w:before="0" w:beforeAutospacing="0" w:after="0" w:afterAutospacing="0" w:line="360" w:lineRule="auto"/>
        <w:ind w:left="284"/>
        <w:rPr>
          <w:sz w:val="27"/>
          <w:szCs w:val="27"/>
        </w:rPr>
      </w:pPr>
    </w:p>
    <w:p w14:paraId="416ABE72" w14:textId="087D6467" w:rsidR="00A80FAD" w:rsidRDefault="00690A38" w:rsidP="006E0645">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new colour display on the Power Pack Units (PPU) Z180 and Z390 at the head end of the drive unit immediately catches the eye. It now measures twelve inches and the information is displayed according to the very latest design standards. As a result, the high information content of the display screen is very neatly arranged. In addition, all graphic elements are shown in such a way that they are self-explanatory. Thanks to the clear, modern design, the operator can see the most important information on hydraulics, engine functions and fill levels at a glance via the start page of the main menu. </w:t>
      </w:r>
    </w:p>
    <w:p w14:paraId="550C7EB2" w14:textId="7A134CFB" w:rsidR="00A80FAD" w:rsidRDefault="00A80FAD" w:rsidP="006E0645">
      <w:pPr>
        <w:pStyle w:val="s12"/>
        <w:spacing w:before="0" w:beforeAutospacing="0" w:after="0" w:afterAutospacing="0" w:line="360" w:lineRule="auto"/>
        <w:ind w:left="284"/>
        <w:rPr>
          <w:rStyle w:val="bumpedfont15"/>
          <w:rFonts w:ascii="Arial" w:hAnsi="Arial" w:cs="Arial"/>
          <w:sz w:val="24"/>
          <w:szCs w:val="24"/>
        </w:rPr>
      </w:pPr>
    </w:p>
    <w:p w14:paraId="517D2B4C" w14:textId="1CA2284F" w:rsidR="00235D67" w:rsidRPr="00235D67" w:rsidRDefault="00235D67" w:rsidP="006E0645">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Operator always has an overview of all essential information</w:t>
      </w:r>
    </w:p>
    <w:p w14:paraId="65DA3AAB" w14:textId="00099BD9" w:rsidR="007550F1" w:rsidRDefault="007550F1" w:rsidP="007550F1">
      <w:pPr>
        <w:pStyle w:val="s12"/>
        <w:spacing w:before="0" w:beforeAutospacing="0" w:after="0" w:afterAutospacing="0" w:line="360" w:lineRule="auto"/>
        <w:ind w:left="284"/>
        <w:rPr>
          <w:rStyle w:val="bumpedfont15"/>
          <w:rFonts w:ascii="Arial" w:hAnsi="Arial" w:cs="Arial"/>
        </w:rPr>
      </w:pPr>
      <w:r>
        <w:rPr>
          <w:rStyle w:val="bumpedfont15"/>
          <w:rFonts w:ascii="Arial" w:hAnsi="Arial"/>
          <w:sz w:val="24"/>
          <w:szCs w:val="24"/>
        </w:rPr>
        <w:t xml:space="preserve">Important performance data; control data and filling levels are graphically displayed in a clear and easily understandable manner. Sensibly arranged control icons indicate special operating conditions as well as other essential information such as </w:t>
      </w:r>
      <w:proofErr w:type="spellStart"/>
      <w:r>
        <w:rPr>
          <w:rStyle w:val="bumpedfont15"/>
          <w:rFonts w:ascii="Arial" w:hAnsi="Arial"/>
          <w:sz w:val="24"/>
          <w:szCs w:val="24"/>
        </w:rPr>
        <w:t>Adblue</w:t>
      </w:r>
      <w:proofErr w:type="spellEnd"/>
      <w:r>
        <w:rPr>
          <w:rStyle w:val="bumpedfont15"/>
          <w:rFonts w:ascii="Arial" w:hAnsi="Arial"/>
          <w:sz w:val="24"/>
          <w:szCs w:val="24"/>
        </w:rPr>
        <w:t xml:space="preserve"> and fuel levels. The intuitive touch-screen control also provides the user with quick access to the various sub-menus and thus to all essential vehicle data. </w:t>
      </w:r>
      <w:r>
        <w:rPr>
          <w:rStyle w:val="bumpedfont15"/>
          <w:rFonts w:ascii="Arial" w:hAnsi="Arial"/>
          <w:sz w:val="24"/>
          <w:szCs w:val="24"/>
        </w:rPr>
        <w:br w:type="page"/>
      </w:r>
    </w:p>
    <w:p w14:paraId="22B17633" w14:textId="4C22B3F7" w:rsidR="00AB3F19" w:rsidRPr="00AB3F19" w:rsidRDefault="007550F1"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lastRenderedPageBreak/>
        <w:t>Further developed electronics offer the vehicle operator numerous advantages</w:t>
      </w:r>
    </w:p>
    <w:p w14:paraId="4E0AE2A7" w14:textId="2BB0E2D2" w:rsidR="00AB3F19" w:rsidRDefault="00AB3F19"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model upgrade of the two PPU series is based on a comprehensive overhaul of the PPU electronics. This is accompanied by significantly improved diagnostic functions. Furthermore, this information allows the service technician to remotely guide the vehicle operating unit when troubleshooting. This saves time and money as well as increasing the cost-effectiveness of the transportation.</w:t>
      </w:r>
    </w:p>
    <w:p w14:paraId="2A0A4B39" w14:textId="1AF24B2D" w:rsidR="00BB5298" w:rsidRPr="00AB3F19" w:rsidRDefault="00BB5298" w:rsidP="0044279D">
      <w:pPr>
        <w:pStyle w:val="s12"/>
        <w:spacing w:before="0" w:beforeAutospacing="0" w:after="0" w:afterAutospacing="0" w:line="360" w:lineRule="auto"/>
        <w:ind w:left="284"/>
        <w:rPr>
          <w:rFonts w:ascii="Arial" w:hAnsi="Arial" w:cs="Arial"/>
          <w:sz w:val="24"/>
          <w:szCs w:val="24"/>
        </w:rPr>
      </w:pPr>
    </w:p>
    <w:p w14:paraId="1C2B7809" w14:textId="53E2B262" w:rsidR="002F4B6C" w:rsidRPr="002F4B6C" w:rsidRDefault="005A2D5C" w:rsidP="0044279D">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b/>
          <w:bCs/>
          <w:sz w:val="24"/>
          <w:szCs w:val="24"/>
        </w:rPr>
        <w:t>Power Pack Units Z180 and Z390 also suitable for extreme conditions</w:t>
      </w:r>
    </w:p>
    <w:p w14:paraId="571156A0" w14:textId="77777777" w:rsidR="00235D67" w:rsidRDefault="0028779F"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PPUs of the Z180 and Z390 series serve as drive units for the self-propelled vehicles of the SPMT series (Self Propelled Modular Transporter). They are suitable for use even under the most difficult of conditions such as extreme temperatures in deserts and Arctic regions. The Z180 drives 16 through to a maximum of 40 pendulum axles while the Z390 propels 26 up to a maximum of 80 pendulum axles (each with a 48-tonne axle load). The PPUs provide 180 kW (Z180) or 390 kW (Z390) respectively. </w:t>
      </w:r>
    </w:p>
    <w:p w14:paraId="436C11FA" w14:textId="77777777" w:rsidR="00235D67" w:rsidRDefault="00235D67" w:rsidP="0044279D">
      <w:pPr>
        <w:pStyle w:val="s12"/>
        <w:spacing w:before="0" w:beforeAutospacing="0" w:after="0" w:afterAutospacing="0" w:line="360" w:lineRule="auto"/>
        <w:ind w:left="284"/>
        <w:rPr>
          <w:rStyle w:val="bumpedfont15"/>
          <w:rFonts w:ascii="Arial" w:hAnsi="Arial" w:cs="Arial"/>
          <w:sz w:val="24"/>
          <w:szCs w:val="24"/>
        </w:rPr>
      </w:pPr>
    </w:p>
    <w:p w14:paraId="5DB0572D" w14:textId="6E36B2B6" w:rsidR="00235D67" w:rsidRPr="00235D67" w:rsidRDefault="00235D67"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b/>
          <w:sz w:val="24"/>
          <w:szCs w:val="24"/>
        </w:rPr>
        <w:t>SPMT from SCHEURLE - the bestseller among heavy-duty modules</w:t>
      </w:r>
    </w:p>
    <w:p w14:paraId="45CB1559" w14:textId="19EB21B3" w:rsidR="00BB5298" w:rsidRPr="00352963" w:rsidRDefault="00352963" w:rsidP="0044279D">
      <w:pPr>
        <w:pStyle w:val="s12"/>
        <w:spacing w:before="0" w:beforeAutospacing="0" w:after="0" w:afterAutospacing="0" w:line="360" w:lineRule="auto"/>
        <w:ind w:left="284"/>
        <w:rPr>
          <w:rFonts w:ascii="Arial" w:hAnsi="Arial" w:cs="Arial"/>
          <w:sz w:val="24"/>
          <w:szCs w:val="24"/>
        </w:rPr>
      </w:pPr>
      <w:proofErr w:type="gramStart"/>
      <w:r>
        <w:rPr>
          <w:rStyle w:val="bumpedfont15"/>
          <w:rFonts w:ascii="Arial" w:hAnsi="Arial"/>
          <w:sz w:val="24"/>
          <w:szCs w:val="24"/>
        </w:rPr>
        <w:t xml:space="preserve">The </w:t>
      </w:r>
      <w:r>
        <w:rPr>
          <w:rFonts w:ascii="Arial" w:hAnsi="Arial"/>
          <w:sz w:val="24"/>
          <w:szCs w:val="24"/>
        </w:rPr>
        <w:t xml:space="preserve"> SCHEUERLE</w:t>
      </w:r>
      <w:proofErr w:type="gramEnd"/>
      <w:r>
        <w:rPr>
          <w:rFonts w:ascii="Arial" w:hAnsi="Arial"/>
          <w:sz w:val="24"/>
          <w:szCs w:val="24"/>
        </w:rPr>
        <w:t xml:space="preserve"> SPMT is a modular, self-propelled transporter that can be combined to form transport combinations of any size and thus theoretically offers unlimited payloads. With the introduction of the SPMT transporter, SCHEUERLE </w:t>
      </w:r>
      <w:proofErr w:type="spellStart"/>
      <w:r>
        <w:rPr>
          <w:rFonts w:ascii="Arial" w:hAnsi="Arial"/>
          <w:sz w:val="24"/>
          <w:szCs w:val="24"/>
        </w:rPr>
        <w:t>Fahrzeugfabrik</w:t>
      </w:r>
      <w:proofErr w:type="spellEnd"/>
      <w:r>
        <w:rPr>
          <w:rFonts w:ascii="Arial" w:hAnsi="Arial"/>
          <w:sz w:val="24"/>
          <w:szCs w:val="24"/>
        </w:rPr>
        <w:t xml:space="preserve"> has revolutionised the way in which the heaviest loads are transported and, at the same time, provides a modular concept that ensures efficient transportation to locations around the world thanks to its container-sized dimensions. As a result, SPMT axle lines from SCHEUERLE are in great demand as transport solutions around the world. No other manufacturer has more comparable axle lines on the market than SCHEUERLE.</w:t>
      </w:r>
    </w:p>
    <w:p w14:paraId="1AFEDA3D" w14:textId="4DA0DE7F" w:rsidR="00BB5298" w:rsidRDefault="00BB5298" w:rsidP="0044279D">
      <w:pPr>
        <w:pStyle w:val="s12"/>
        <w:spacing w:before="0" w:beforeAutospacing="0" w:after="0" w:afterAutospacing="0" w:line="360" w:lineRule="auto"/>
        <w:ind w:left="284"/>
        <w:rPr>
          <w:sz w:val="24"/>
          <w:szCs w:val="24"/>
        </w:rPr>
      </w:pPr>
    </w:p>
    <w:p w14:paraId="216AFC33" w14:textId="3BFA4C22" w:rsidR="007550F1" w:rsidRDefault="007550F1">
      <w:pPr>
        <w:suppressAutoHyphens w:val="0"/>
        <w:rPr>
          <w:rFonts w:ascii="Calibri" w:eastAsiaTheme="minorHAnsi" w:hAnsi="Calibri" w:cs="Calibri"/>
        </w:rPr>
      </w:pPr>
      <w:r>
        <w:br w:type="page"/>
      </w: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lastRenderedPageBreak/>
        <w:t>Photo:</w:t>
      </w:r>
    </w:p>
    <w:p w14:paraId="33705131" w14:textId="29310BB0" w:rsidR="00BB5298" w:rsidRPr="002068FF" w:rsidRDefault="005A2D5C"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Thanks to the modern visualisation, all important vehicle and drive data can be quickly collected on the upgraded PPUs Z180 and Z390.</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0593F0EC" w:rsidR="008D434F" w:rsidRDefault="00B57A1B" w:rsidP="0044279D">
      <w:pPr>
        <w:spacing w:line="360" w:lineRule="auto"/>
        <w:ind w:left="284"/>
      </w:pPr>
      <w:r w:rsidRPr="009D7A65">
        <w:rPr>
          <w:rFonts w:ascii="Arial" w:hAnsi="Arial"/>
          <w:sz w:val="18"/>
          <w:szCs w:val="18"/>
        </w:rPr>
        <w:t xml:space="preserve">The Transporter Industry International Group (TII Group) belongs to the Rettenmaier entrepreneurial family and is a globally active manufacturer of heavy-duty and special vehicles. It is comprised of the Scheuerle, Nicolas, Kamag and </w:t>
      </w:r>
      <w:proofErr w:type="spellStart"/>
      <w:r w:rsidRPr="009D7A65">
        <w:rPr>
          <w:rFonts w:ascii="Arial" w:hAnsi="Arial"/>
          <w:sz w:val="18"/>
          <w:szCs w:val="18"/>
        </w:rPr>
        <w:t>TIIger</w:t>
      </w:r>
      <w:proofErr w:type="spellEnd"/>
      <w:r w:rsidRPr="009D7A65">
        <w:rPr>
          <w:rFonts w:ascii="Arial" w:hAnsi="Arial"/>
          <w:sz w:val="18"/>
          <w:szCs w:val="18"/>
        </w:rPr>
        <w:t xml:space="preserve">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w:t>
      </w:r>
      <w:r w:rsidR="009D7A65">
        <w:rPr>
          <w:rFonts w:ascii="Arial" w:hAnsi="Arial"/>
          <w:sz w:val="18"/>
          <w:szCs w:val="18"/>
        </w:rPr>
        <w:t xml:space="preserve">ind turbine facilities, ships, </w:t>
      </w:r>
      <w:r w:rsidRPr="009D7A65">
        <w:rPr>
          <w:rFonts w:ascii="Arial" w:hAnsi="Arial"/>
          <w:sz w:val="18"/>
          <w:szCs w:val="18"/>
        </w:rPr>
        <w:t>antennas as well as entire factory plant. The TII Group holds the current world record of over</w:t>
      </w:r>
      <w:r>
        <w:rPr>
          <w:rFonts w:ascii="Arial" w:hAnsi="Arial"/>
          <w:sz w:val="18"/>
          <w:szCs w:val="18"/>
        </w:rPr>
        <w:t xml:space="preserve">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BF6003" w:rsidRDefault="00BF6003" w:rsidP="0044279D">
      <w:pPr>
        <w:spacing w:line="360" w:lineRule="auto"/>
        <w:ind w:left="284"/>
        <w:rPr>
          <w:rFonts w:ascii="Arial" w:hAnsi="Arial" w:cs="Arial"/>
          <w:sz w:val="18"/>
          <w:szCs w:val="18"/>
          <w:lang w:val="de-DE"/>
        </w:rPr>
      </w:pPr>
      <w:hyperlink r:id="rId8" w:history="1">
        <w:r w:rsidR="003612B3" w:rsidRPr="00BF6003">
          <w:rPr>
            <w:rStyle w:val="Hyperlink"/>
            <w:rFonts w:ascii="Arial" w:hAnsi="Arial"/>
            <w:sz w:val="18"/>
            <w:szCs w:val="18"/>
            <w:lang w:val="de-DE"/>
          </w:rPr>
          <w:t>www.tii-group.com</w:t>
        </w:r>
      </w:hyperlink>
    </w:p>
    <w:p w14:paraId="34328938" w14:textId="40BB5779" w:rsidR="008D434F" w:rsidRPr="00BF6003" w:rsidRDefault="008D434F" w:rsidP="002B3481">
      <w:pPr>
        <w:spacing w:line="360" w:lineRule="auto"/>
        <w:ind w:left="284"/>
        <w:rPr>
          <w:rFonts w:ascii="Arial" w:hAnsi="Arial" w:cs="Arial"/>
          <w:sz w:val="18"/>
          <w:szCs w:val="18"/>
          <w:lang w:val="de-DE"/>
        </w:rPr>
      </w:pPr>
    </w:p>
    <w:p w14:paraId="6E17A076" w14:textId="77777777" w:rsidR="00D554D2" w:rsidRPr="00BF6003" w:rsidRDefault="00D554D2" w:rsidP="002B3481">
      <w:pPr>
        <w:spacing w:line="360" w:lineRule="auto"/>
        <w:ind w:left="284"/>
        <w:rPr>
          <w:rFonts w:ascii="Arial" w:hAnsi="Arial" w:cs="Arial"/>
          <w:sz w:val="18"/>
          <w:szCs w:val="18"/>
          <w:lang w:val="de-DE"/>
        </w:rPr>
      </w:pPr>
    </w:p>
    <w:p w14:paraId="6232B1D5" w14:textId="1878D2BD" w:rsidR="008D434F" w:rsidRPr="00BF6003" w:rsidRDefault="00B57A1B" w:rsidP="0044279D">
      <w:pPr>
        <w:spacing w:line="360" w:lineRule="auto"/>
        <w:ind w:left="284"/>
        <w:rPr>
          <w:rFonts w:ascii="Arial" w:hAnsi="Arial" w:cs="Arial"/>
          <w:b/>
          <w:sz w:val="22"/>
          <w:szCs w:val="22"/>
          <w:lang w:val="de-DE"/>
        </w:rPr>
      </w:pPr>
      <w:r w:rsidRPr="00BF6003">
        <w:rPr>
          <w:rFonts w:ascii="Arial" w:hAnsi="Arial"/>
          <w:b/>
          <w:sz w:val="18"/>
          <w:szCs w:val="18"/>
          <w:lang w:val="de-DE"/>
        </w:rPr>
        <w:t>Press Contact</w:t>
      </w:r>
    </w:p>
    <w:p w14:paraId="0D226021" w14:textId="18CBFC7C" w:rsidR="008D434F" w:rsidRPr="00BF6003" w:rsidRDefault="0044279D" w:rsidP="0044279D">
      <w:pPr>
        <w:ind w:left="284" w:hanging="284"/>
        <w:rPr>
          <w:rFonts w:ascii="Arial" w:hAnsi="Arial" w:cs="Arial"/>
          <w:sz w:val="18"/>
          <w:szCs w:val="18"/>
          <w:lang w:val="de-DE"/>
        </w:rPr>
      </w:pPr>
      <w:r w:rsidRPr="00BF6003">
        <w:rPr>
          <w:rFonts w:ascii="Arial" w:hAnsi="Arial"/>
          <w:sz w:val="22"/>
          <w:szCs w:val="22"/>
          <w:lang w:val="de-DE"/>
        </w:rPr>
        <w:tab/>
      </w:r>
      <w:r w:rsidRPr="00BF6003">
        <w:rPr>
          <w:rFonts w:ascii="Arial" w:hAnsi="Arial"/>
          <w:sz w:val="18"/>
          <w:szCs w:val="18"/>
          <w:lang w:val="de-DE"/>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90F0" w14:textId="77777777" w:rsidR="00595234" w:rsidRDefault="00595234">
      <w:r>
        <w:separator/>
      </w:r>
    </w:p>
  </w:endnote>
  <w:endnote w:type="continuationSeparator" w:id="0">
    <w:p w14:paraId="180B0F01" w14:textId="77777777" w:rsidR="00595234" w:rsidRDefault="005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9D7A65">
      <w:rPr>
        <w:rFonts w:cs="Arial"/>
        <w:bCs/>
        <w:i/>
        <w:noProof/>
        <w:sz w:val="12"/>
        <w:szCs w:val="12"/>
      </w:rPr>
      <w:t>3</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9D7A65">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2FBF" w14:textId="77777777" w:rsidR="00595234" w:rsidRDefault="00595234">
      <w:r>
        <w:separator/>
      </w:r>
    </w:p>
  </w:footnote>
  <w:footnote w:type="continuationSeparator" w:id="0">
    <w:p w14:paraId="2C85C67D" w14:textId="77777777" w:rsidR="00595234" w:rsidRDefault="0059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3B"/>
    <w:rsid w:val="00003377"/>
    <w:rsid w:val="0004687E"/>
    <w:rsid w:val="00047776"/>
    <w:rsid w:val="00060D20"/>
    <w:rsid w:val="0006313E"/>
    <w:rsid w:val="000903BB"/>
    <w:rsid w:val="000A3EE8"/>
    <w:rsid w:val="000A7528"/>
    <w:rsid w:val="000D0614"/>
    <w:rsid w:val="000D1EA5"/>
    <w:rsid w:val="000F27B7"/>
    <w:rsid w:val="000F27E3"/>
    <w:rsid w:val="00101FA1"/>
    <w:rsid w:val="00114AB5"/>
    <w:rsid w:val="0012194F"/>
    <w:rsid w:val="00130D21"/>
    <w:rsid w:val="00163278"/>
    <w:rsid w:val="001648F7"/>
    <w:rsid w:val="00164956"/>
    <w:rsid w:val="0019167A"/>
    <w:rsid w:val="001A38BB"/>
    <w:rsid w:val="001B4B0A"/>
    <w:rsid w:val="001C0728"/>
    <w:rsid w:val="001E2510"/>
    <w:rsid w:val="001E2FCF"/>
    <w:rsid w:val="001E44A7"/>
    <w:rsid w:val="001E4DC0"/>
    <w:rsid w:val="0020081A"/>
    <w:rsid w:val="002068FF"/>
    <w:rsid w:val="00220EF5"/>
    <w:rsid w:val="00234461"/>
    <w:rsid w:val="00235D67"/>
    <w:rsid w:val="0026478F"/>
    <w:rsid w:val="0028779F"/>
    <w:rsid w:val="002B003C"/>
    <w:rsid w:val="002B3481"/>
    <w:rsid w:val="002C2CF3"/>
    <w:rsid w:val="002C70D2"/>
    <w:rsid w:val="002D5BEA"/>
    <w:rsid w:val="002F126B"/>
    <w:rsid w:val="002F4B6C"/>
    <w:rsid w:val="002F7C6F"/>
    <w:rsid w:val="00313EF8"/>
    <w:rsid w:val="0034586E"/>
    <w:rsid w:val="00352963"/>
    <w:rsid w:val="00352EED"/>
    <w:rsid w:val="003612B3"/>
    <w:rsid w:val="0036211F"/>
    <w:rsid w:val="0037253D"/>
    <w:rsid w:val="00377313"/>
    <w:rsid w:val="00390D8E"/>
    <w:rsid w:val="00392D33"/>
    <w:rsid w:val="003B1074"/>
    <w:rsid w:val="003B39F6"/>
    <w:rsid w:val="003B694C"/>
    <w:rsid w:val="003D4B7A"/>
    <w:rsid w:val="004105E2"/>
    <w:rsid w:val="00414DCC"/>
    <w:rsid w:val="00431E0F"/>
    <w:rsid w:val="0044279D"/>
    <w:rsid w:val="00450D48"/>
    <w:rsid w:val="004568A9"/>
    <w:rsid w:val="00460C8B"/>
    <w:rsid w:val="00471616"/>
    <w:rsid w:val="004A58C6"/>
    <w:rsid w:val="004B4A23"/>
    <w:rsid w:val="004C3415"/>
    <w:rsid w:val="004D3A38"/>
    <w:rsid w:val="004D5E19"/>
    <w:rsid w:val="005061DA"/>
    <w:rsid w:val="00507923"/>
    <w:rsid w:val="00512EC6"/>
    <w:rsid w:val="005304CB"/>
    <w:rsid w:val="00562B46"/>
    <w:rsid w:val="00566E05"/>
    <w:rsid w:val="0057496F"/>
    <w:rsid w:val="00595234"/>
    <w:rsid w:val="005A2D5C"/>
    <w:rsid w:val="005A516D"/>
    <w:rsid w:val="005B19D4"/>
    <w:rsid w:val="005C2EB0"/>
    <w:rsid w:val="005D45DF"/>
    <w:rsid w:val="005E2E13"/>
    <w:rsid w:val="00600627"/>
    <w:rsid w:val="00604734"/>
    <w:rsid w:val="00610ED7"/>
    <w:rsid w:val="00612EDD"/>
    <w:rsid w:val="00636839"/>
    <w:rsid w:val="00660B40"/>
    <w:rsid w:val="00667E19"/>
    <w:rsid w:val="00683FBC"/>
    <w:rsid w:val="00690A38"/>
    <w:rsid w:val="006B0ABA"/>
    <w:rsid w:val="006E0645"/>
    <w:rsid w:val="006E3143"/>
    <w:rsid w:val="006E563B"/>
    <w:rsid w:val="006F33DA"/>
    <w:rsid w:val="0070159B"/>
    <w:rsid w:val="00704C90"/>
    <w:rsid w:val="007122EC"/>
    <w:rsid w:val="00713846"/>
    <w:rsid w:val="0075140D"/>
    <w:rsid w:val="007550F1"/>
    <w:rsid w:val="007A054D"/>
    <w:rsid w:val="007A3C53"/>
    <w:rsid w:val="007B0B7D"/>
    <w:rsid w:val="007E14DD"/>
    <w:rsid w:val="007E2DBB"/>
    <w:rsid w:val="007E6EAD"/>
    <w:rsid w:val="007F0256"/>
    <w:rsid w:val="007F5F4D"/>
    <w:rsid w:val="007F660B"/>
    <w:rsid w:val="0080569B"/>
    <w:rsid w:val="008106D4"/>
    <w:rsid w:val="00867404"/>
    <w:rsid w:val="008A4BE0"/>
    <w:rsid w:val="008A5E52"/>
    <w:rsid w:val="008A6E3F"/>
    <w:rsid w:val="008B3264"/>
    <w:rsid w:val="008B6D3A"/>
    <w:rsid w:val="008C41AB"/>
    <w:rsid w:val="008C5E21"/>
    <w:rsid w:val="008D434F"/>
    <w:rsid w:val="008E42E7"/>
    <w:rsid w:val="00907177"/>
    <w:rsid w:val="00907F11"/>
    <w:rsid w:val="0091642A"/>
    <w:rsid w:val="00925571"/>
    <w:rsid w:val="00933912"/>
    <w:rsid w:val="00967C8E"/>
    <w:rsid w:val="00980CC1"/>
    <w:rsid w:val="0099526B"/>
    <w:rsid w:val="009C325B"/>
    <w:rsid w:val="009C661F"/>
    <w:rsid w:val="009D6300"/>
    <w:rsid w:val="009D7A65"/>
    <w:rsid w:val="009F3F42"/>
    <w:rsid w:val="00A5134D"/>
    <w:rsid w:val="00A562D0"/>
    <w:rsid w:val="00A64D60"/>
    <w:rsid w:val="00A80FAD"/>
    <w:rsid w:val="00A91E69"/>
    <w:rsid w:val="00A96A2D"/>
    <w:rsid w:val="00AA4D3F"/>
    <w:rsid w:val="00AB3F19"/>
    <w:rsid w:val="00AC117A"/>
    <w:rsid w:val="00AE7AC4"/>
    <w:rsid w:val="00AF72A5"/>
    <w:rsid w:val="00B1243C"/>
    <w:rsid w:val="00B17628"/>
    <w:rsid w:val="00B2248D"/>
    <w:rsid w:val="00B25BDA"/>
    <w:rsid w:val="00B31228"/>
    <w:rsid w:val="00B50858"/>
    <w:rsid w:val="00B57A1B"/>
    <w:rsid w:val="00B72EE6"/>
    <w:rsid w:val="00B77551"/>
    <w:rsid w:val="00B86277"/>
    <w:rsid w:val="00B929AD"/>
    <w:rsid w:val="00BA7B7C"/>
    <w:rsid w:val="00BB2CF0"/>
    <w:rsid w:val="00BB5298"/>
    <w:rsid w:val="00BE1020"/>
    <w:rsid w:val="00BF6003"/>
    <w:rsid w:val="00C1487A"/>
    <w:rsid w:val="00C33F03"/>
    <w:rsid w:val="00C37472"/>
    <w:rsid w:val="00C47842"/>
    <w:rsid w:val="00C65EFB"/>
    <w:rsid w:val="00C805AC"/>
    <w:rsid w:val="00C93F4A"/>
    <w:rsid w:val="00CC3F17"/>
    <w:rsid w:val="00CE67AC"/>
    <w:rsid w:val="00CF1FEA"/>
    <w:rsid w:val="00D14D01"/>
    <w:rsid w:val="00D16E59"/>
    <w:rsid w:val="00D30FAB"/>
    <w:rsid w:val="00D41316"/>
    <w:rsid w:val="00D554D2"/>
    <w:rsid w:val="00D66235"/>
    <w:rsid w:val="00D67C07"/>
    <w:rsid w:val="00D84583"/>
    <w:rsid w:val="00DB32C5"/>
    <w:rsid w:val="00DE5CDD"/>
    <w:rsid w:val="00DF33E3"/>
    <w:rsid w:val="00DF5F79"/>
    <w:rsid w:val="00E25FB3"/>
    <w:rsid w:val="00E459C3"/>
    <w:rsid w:val="00E53480"/>
    <w:rsid w:val="00E767B4"/>
    <w:rsid w:val="00E776A3"/>
    <w:rsid w:val="00EA6122"/>
    <w:rsid w:val="00ED5D6D"/>
    <w:rsid w:val="00EE4B8B"/>
    <w:rsid w:val="00EF14BF"/>
    <w:rsid w:val="00EF7906"/>
    <w:rsid w:val="00F31698"/>
    <w:rsid w:val="00F55C41"/>
    <w:rsid w:val="00F60178"/>
    <w:rsid w:val="00F81072"/>
    <w:rsid w:val="00F81D01"/>
    <w:rsid w:val="00FB1455"/>
    <w:rsid w:val="00FB2AA7"/>
    <w:rsid w:val="00FD34FC"/>
    <w:rsid w:val="00FF615B"/>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1E363A"/>
  <w15:docId w15:val="{71026539-C983-4A74-9B5A-9AC5DF7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37C7-8C93-46C3-B7BB-9D315625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3</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Seitz, Volker</cp:lastModifiedBy>
  <cp:revision>7</cp:revision>
  <cp:lastPrinted>2019-04-17T13:13:00Z</cp:lastPrinted>
  <dcterms:created xsi:type="dcterms:W3CDTF">2020-12-01T17:08:00Z</dcterms:created>
  <dcterms:modified xsi:type="dcterms:W3CDTF">2020-12-14T13:33:00Z</dcterms:modified>
</cp:coreProperties>
</file>